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B1E9" w14:textId="71D6DA05" w:rsidR="008A5EEC" w:rsidRDefault="008A5EEC" w:rsidP="008A5EEC">
      <w:pPr>
        <w:widowControl w:val="0"/>
        <w:tabs>
          <w:tab w:val="right" w:pos="9639"/>
        </w:tabs>
        <w:spacing w:after="0"/>
        <w:rPr>
          <w:rFonts w:ascii="Arial" w:hAnsi="Arial" w:cs="Arial"/>
          <w:b/>
          <w:bCs/>
          <w:sz w:val="24"/>
          <w:lang w:eastAsia="en-US"/>
        </w:rPr>
      </w:pPr>
      <w:bookmarkStart w:id="0" w:name="_Toc142579058"/>
      <w:r>
        <w:rPr>
          <w:rFonts w:ascii="Arial" w:hAnsi="Arial" w:cs="Arial"/>
          <w:b/>
          <w:sz w:val="24"/>
          <w:lang w:eastAsia="en-US"/>
        </w:rPr>
        <w:t>3GPP TSG-RAN WG2 #12</w:t>
      </w:r>
      <w:r w:rsidR="006C669D">
        <w:rPr>
          <w:rFonts w:ascii="Arial" w:hAnsi="Arial" w:cs="Arial"/>
          <w:b/>
          <w:sz w:val="24"/>
          <w:lang w:eastAsia="en-US"/>
        </w:rPr>
        <w:t>9</w:t>
      </w:r>
      <w:r>
        <w:rPr>
          <w:rFonts w:ascii="Arial" w:hAnsi="Arial" w:cs="Arial"/>
          <w:b/>
          <w:sz w:val="24"/>
          <w:lang w:eastAsia="en-US"/>
        </w:rPr>
        <w:tab/>
      </w:r>
      <w:bookmarkEnd w:id="0"/>
      <w:r w:rsidR="00C5563B" w:rsidRPr="00C5563B">
        <w:rPr>
          <w:rFonts w:ascii="Arial" w:hAnsi="Arial" w:cs="Arial"/>
          <w:b/>
          <w:sz w:val="32"/>
          <w:szCs w:val="24"/>
          <w:lang w:eastAsia="en-US"/>
        </w:rPr>
        <w:t>R2-2501289</w:t>
      </w:r>
    </w:p>
    <w:p w14:paraId="27570798" w14:textId="078D792B" w:rsidR="008A5EEC" w:rsidRDefault="006C669D" w:rsidP="008A5EEC">
      <w:pPr>
        <w:widowControl w:val="0"/>
        <w:tabs>
          <w:tab w:val="right" w:pos="9639"/>
        </w:tabs>
        <w:spacing w:after="0"/>
        <w:rPr>
          <w:rFonts w:ascii="Arial" w:hAnsi="Arial" w:cs="Arial"/>
          <w:b/>
          <w:sz w:val="24"/>
          <w:lang w:eastAsia="en-US"/>
        </w:rPr>
      </w:pPr>
      <w:bookmarkStart w:id="1" w:name="_Hlk163070749"/>
      <w:r>
        <w:rPr>
          <w:rFonts w:ascii="Arial" w:hAnsi="Arial" w:cs="Arial"/>
          <w:b/>
          <w:sz w:val="24"/>
          <w:lang w:eastAsia="en-US"/>
        </w:rPr>
        <w:t>Athens</w:t>
      </w:r>
      <w:r w:rsidR="008A5EEC">
        <w:rPr>
          <w:rFonts w:ascii="Arial" w:hAnsi="Arial" w:cs="Arial"/>
          <w:b/>
          <w:sz w:val="24"/>
          <w:lang w:eastAsia="en-US"/>
        </w:rPr>
        <w:t xml:space="preserve">, </w:t>
      </w:r>
      <w:r>
        <w:rPr>
          <w:rFonts w:ascii="Arial" w:hAnsi="Arial" w:cs="Arial"/>
          <w:b/>
          <w:sz w:val="24"/>
          <w:lang w:eastAsia="en-US"/>
        </w:rPr>
        <w:t>Greece</w:t>
      </w:r>
      <w:r w:rsidR="008A5EEC">
        <w:rPr>
          <w:rFonts w:ascii="Arial" w:hAnsi="Arial" w:cs="Arial"/>
          <w:b/>
          <w:sz w:val="24"/>
          <w:lang w:eastAsia="en-US"/>
        </w:rPr>
        <w:t>, 1</w:t>
      </w:r>
      <w:r>
        <w:rPr>
          <w:rFonts w:ascii="Arial" w:hAnsi="Arial" w:cs="Arial"/>
          <w:b/>
          <w:sz w:val="24"/>
          <w:lang w:eastAsia="en-US"/>
        </w:rPr>
        <w:t>7</w:t>
      </w:r>
      <w:r w:rsidR="008A5EEC">
        <w:rPr>
          <w:rFonts w:ascii="Arial" w:hAnsi="Arial" w:cs="Arial"/>
          <w:b/>
          <w:sz w:val="24"/>
          <w:lang w:eastAsia="en-US"/>
        </w:rPr>
        <w:t>th – 2</w:t>
      </w:r>
      <w:r>
        <w:rPr>
          <w:rFonts w:ascii="Arial" w:hAnsi="Arial" w:cs="Arial"/>
          <w:b/>
          <w:sz w:val="24"/>
          <w:lang w:eastAsia="en-US"/>
        </w:rPr>
        <w:t>1s</w:t>
      </w:r>
      <w:r w:rsidR="008A5EEC">
        <w:rPr>
          <w:rFonts w:ascii="Arial" w:hAnsi="Arial" w:cs="Arial"/>
          <w:b/>
          <w:sz w:val="24"/>
          <w:lang w:eastAsia="en-US"/>
        </w:rPr>
        <w:t xml:space="preserve">t </w:t>
      </w:r>
      <w:r>
        <w:rPr>
          <w:rFonts w:ascii="Arial" w:hAnsi="Arial" w:cs="Arial"/>
          <w:b/>
          <w:sz w:val="24"/>
          <w:lang w:eastAsia="en-US"/>
        </w:rPr>
        <w:t>February</w:t>
      </w:r>
      <w:r w:rsidR="008A5EEC">
        <w:rPr>
          <w:rFonts w:ascii="Arial" w:hAnsi="Arial" w:cs="Arial"/>
          <w:b/>
          <w:sz w:val="24"/>
          <w:lang w:eastAsia="en-US"/>
        </w:rPr>
        <w:t xml:space="preserve"> 202</w:t>
      </w:r>
      <w:bookmarkEnd w:id="1"/>
      <w:r>
        <w:rPr>
          <w:rFonts w:ascii="Arial" w:hAnsi="Arial" w:cs="Arial"/>
          <w:b/>
          <w:sz w:val="24"/>
          <w:lang w:eastAsia="en-US"/>
        </w:rPr>
        <w:t>5</w:t>
      </w:r>
    </w:p>
    <w:p w14:paraId="252563D4" w14:textId="77777777" w:rsidR="00E90E49" w:rsidRPr="00CE0424" w:rsidRDefault="00E90E49" w:rsidP="00357380">
      <w:pPr>
        <w:pStyle w:val="3GPPHeader"/>
      </w:pPr>
    </w:p>
    <w:p w14:paraId="267378A2" w14:textId="15EAC1E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72393">
        <w:rPr>
          <w:sz w:val="22"/>
          <w:szCs w:val="22"/>
        </w:rPr>
        <w:t>8.10.</w:t>
      </w:r>
      <w:r w:rsidR="00937EC6">
        <w:rPr>
          <w:sz w:val="22"/>
          <w:szCs w:val="22"/>
        </w:rPr>
        <w:t>5</w:t>
      </w:r>
      <w:r w:rsidR="00C802FB" w:rsidRPr="00CE0424">
        <w:rPr>
          <w:sz w:val="22"/>
          <w:szCs w:val="22"/>
        </w:rPr>
        <w:t xml:space="preserve"> </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9C905BD" w:rsidR="00E90E49" w:rsidRPr="00CE0424" w:rsidRDefault="003D3C45" w:rsidP="00311702">
      <w:pPr>
        <w:pStyle w:val="3GPPHeader"/>
        <w:rPr>
          <w:sz w:val="22"/>
          <w:szCs w:val="22"/>
        </w:rPr>
      </w:pPr>
      <w:r>
        <w:rPr>
          <w:sz w:val="22"/>
          <w:szCs w:val="22"/>
        </w:rPr>
        <w:t>Title:</w:t>
      </w:r>
      <w:r w:rsidR="00E90E49" w:rsidRPr="00CE0424">
        <w:rPr>
          <w:sz w:val="22"/>
          <w:szCs w:val="22"/>
        </w:rPr>
        <w:tab/>
      </w:r>
      <w:r w:rsidR="00972393" w:rsidRPr="00972393">
        <w:rPr>
          <w:sz w:val="22"/>
          <w:szCs w:val="22"/>
        </w:rPr>
        <w:t>On Rel.18 leftovers</w:t>
      </w:r>
      <w:r w:rsidR="00991AE2">
        <w:rPr>
          <w:sz w:val="22"/>
          <w:szCs w:val="22"/>
        </w:rPr>
        <w:t xml:space="preserve"> </w:t>
      </w:r>
    </w:p>
    <w:p w14:paraId="1DD4A9BC" w14:textId="3A124E9E" w:rsidR="00E90E49" w:rsidRPr="008D6BC1" w:rsidRDefault="00E90E49" w:rsidP="008D6BC1">
      <w:pPr>
        <w:pStyle w:val="3GPPHeader"/>
        <w:rPr>
          <w:sz w:val="22"/>
          <w:szCs w:val="22"/>
        </w:rPr>
      </w:pPr>
      <w:r w:rsidRPr="00972393">
        <w:rPr>
          <w:sz w:val="22"/>
          <w:szCs w:val="22"/>
        </w:rPr>
        <w:t>Document for:</w:t>
      </w:r>
      <w:r w:rsidRPr="00972393">
        <w:rPr>
          <w:sz w:val="22"/>
          <w:szCs w:val="22"/>
        </w:rPr>
        <w:tab/>
        <w:t>Discussion</w:t>
      </w:r>
    </w:p>
    <w:p w14:paraId="028056FC" w14:textId="1BC5561E" w:rsidR="00E90E49" w:rsidRDefault="00230D18" w:rsidP="00CE0424">
      <w:pPr>
        <w:pStyle w:val="Heading1"/>
      </w:pPr>
      <w:r>
        <w:t>1</w:t>
      </w:r>
      <w:r>
        <w:tab/>
      </w:r>
      <w:r w:rsidR="00E90E49" w:rsidRPr="00CE0424">
        <w:t>Introduction</w:t>
      </w:r>
    </w:p>
    <w:p w14:paraId="416D6F70" w14:textId="77777777" w:rsidR="00A3185B" w:rsidRPr="00972393" w:rsidRDefault="00A3185B" w:rsidP="00A3185B">
      <w:pPr>
        <w:rPr>
          <w:rFonts w:ascii="Arial" w:hAnsi="Arial"/>
          <w:lang w:eastAsia="zh-CN"/>
        </w:rPr>
      </w:pPr>
      <w:r w:rsidRPr="00972393">
        <w:rPr>
          <w:rFonts w:ascii="Arial" w:hAnsi="Arial"/>
          <w:lang w:eastAsia="zh-CN"/>
        </w:rPr>
        <w:t>Rel-19 WID supports the following leftover topics in RAN2</w:t>
      </w:r>
      <w:r>
        <w:rPr>
          <w:rFonts w:ascii="Arial" w:hAnsi="Arial"/>
          <w:lang w:eastAsia="zh-CN"/>
        </w:rPr>
        <w:t>.</w:t>
      </w:r>
    </w:p>
    <w:p w14:paraId="1E59033E" w14:textId="77777777" w:rsidR="00A3185B" w:rsidRPr="00972393" w:rsidRDefault="00A3185B" w:rsidP="00A3185B">
      <w:pPr>
        <w:rPr>
          <w:rFonts w:ascii="Arial" w:hAnsi="Arial"/>
          <w:lang w:eastAsia="zh-CN"/>
        </w:rPr>
      </w:pPr>
      <w:r w:rsidRPr="00972393">
        <w:rPr>
          <w:rFonts w:ascii="Arial" w:hAnsi="Arial"/>
          <w:noProof/>
          <w:lang w:eastAsia="zh-CN"/>
        </w:rPr>
        <mc:AlternateContent>
          <mc:Choice Requires="wps">
            <w:drawing>
              <wp:inline distT="0" distB="0" distL="0" distR="0" wp14:anchorId="7E00B0DC" wp14:editId="7B8DD457">
                <wp:extent cx="6157912"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5E864BF2" w14:textId="77777777" w:rsidR="00A3185B" w:rsidRDefault="00A3185B" w:rsidP="00A3185B">
                            <w:pPr>
                              <w:spacing w:before="120" w:line="280" w:lineRule="atLeast"/>
                              <w:rPr>
                                <w:rFonts w:eastAsia="SimSun"/>
                              </w:rPr>
                            </w:pPr>
                            <w:r>
                              <w:rPr>
                                <w:rFonts w:eastAsia="SimSun" w:hint="eastAsia"/>
                              </w:rPr>
                              <w:t>- Support of the leftovers in Rel-18 SON/MDT [RAN3, RAN2]:</w:t>
                            </w:r>
                          </w:p>
                          <w:p w14:paraId="0BA3C73E" w14:textId="1213BA42" w:rsidR="00A3185B" w:rsidRPr="00A3185B"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611C7388" w14:textId="2EB25CED" w:rsidR="00A3185B" w:rsidRPr="00E76D9C"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txbxContent>
                      </wps:txbx>
                      <wps:bodyPr rot="0" vert="horz" wrap="square" lIns="91440" tIns="45720" rIns="91440" bIns="45720" anchor="t" anchorCtr="0">
                        <a:spAutoFit/>
                      </wps:bodyPr>
                    </wps:wsp>
                  </a:graphicData>
                </a:graphic>
              </wp:inline>
            </w:drawing>
          </mc:Choice>
          <mc:Fallback>
            <w:pict>
              <v:shapetype w14:anchorId="7E00B0DC" id="_x0000_t202" coordsize="21600,21600" o:spt="202" path="m,l,21600r21600,l21600,xe">
                <v:stroke joinstyle="miter"/>
                <v:path gradientshapeok="t" o:connecttype="rect"/>
              </v:shapetype>
              <v:shape id="Text Box 217"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V5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OZXy2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BwUPV5&#10;EgIAACAEAAAOAAAAAAAAAAAAAAAAAC4CAABkcnMvZTJvRG9jLnhtbFBLAQItABQABgAIAAAAIQBx&#10;vvrX3AAAAAUBAAAPAAAAAAAAAAAAAAAAAGwEAABkcnMvZG93bnJldi54bWxQSwUGAAAAAAQABADz&#10;AAAAdQUAAAAA&#10;">
                <v:textbox style="mso-fit-shape-to-text:t">
                  <w:txbxContent>
                    <w:p w14:paraId="5E864BF2" w14:textId="77777777" w:rsidR="00A3185B" w:rsidRDefault="00A3185B" w:rsidP="00A3185B">
                      <w:pPr>
                        <w:spacing w:before="120" w:line="280" w:lineRule="atLeast"/>
                        <w:rPr>
                          <w:rFonts w:eastAsia="SimSun"/>
                        </w:rPr>
                      </w:pPr>
                      <w:r>
                        <w:rPr>
                          <w:rFonts w:eastAsia="SimSun" w:hint="eastAsia"/>
                        </w:rPr>
                        <w:t>- Support of the leftovers in Rel-18 SON/MDT [RAN3, RAN2]:</w:t>
                      </w:r>
                    </w:p>
                    <w:p w14:paraId="0BA3C73E" w14:textId="1213BA42" w:rsidR="00A3185B" w:rsidRPr="00A3185B"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611C7388" w14:textId="2EB25CED" w:rsidR="00A3185B" w:rsidRPr="00E76D9C"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txbxContent>
                </v:textbox>
                <w10:anchorlock/>
              </v:shape>
            </w:pict>
          </mc:Fallback>
        </mc:AlternateContent>
      </w:r>
    </w:p>
    <w:p w14:paraId="3631F81D" w14:textId="79FA4BF9" w:rsidR="00345E3A" w:rsidRPr="00535342" w:rsidRDefault="00535342" w:rsidP="00972393">
      <w:pPr>
        <w:rPr>
          <w:rFonts w:ascii="Arial" w:hAnsi="Arial" w:cs="Arial"/>
          <w:lang w:eastAsia="zh-CN"/>
        </w:rPr>
      </w:pPr>
      <w:r w:rsidRPr="00535342">
        <w:rPr>
          <w:rFonts w:ascii="Arial" w:hAnsi="Arial" w:cs="Arial"/>
          <w:lang w:eastAsia="zh-CN"/>
        </w:rPr>
        <w:t xml:space="preserve">In MHI Enhancements </w:t>
      </w:r>
      <w:r w:rsidRPr="00535342">
        <w:rPr>
          <w:rFonts w:ascii="Arial" w:eastAsia="SimSun" w:hAnsi="Arial" w:cs="Arial"/>
        </w:rPr>
        <w:t xml:space="preserve">for SCG Deactivation/Activation, </w:t>
      </w:r>
      <w:r w:rsidR="00345E3A" w:rsidRPr="00535342">
        <w:rPr>
          <w:rFonts w:ascii="Arial" w:hAnsi="Arial" w:cs="Arial"/>
          <w:lang w:eastAsia="zh-CN"/>
        </w:rPr>
        <w:t>RAN2 asked RAN3 if a NW-based solution is sufficient to analyse the time UEs spend with the SCG activated vs. deactivated.</w:t>
      </w:r>
      <w:r w:rsidRPr="00535342">
        <w:rPr>
          <w:rFonts w:ascii="Arial" w:hAnsi="Arial" w:cs="Arial"/>
          <w:lang w:eastAsia="zh-CN"/>
        </w:rPr>
        <w:t xml:space="preserve"> In response, </w:t>
      </w:r>
      <w:r w:rsidR="00345E3A" w:rsidRPr="00535342">
        <w:rPr>
          <w:rFonts w:ascii="Arial" w:hAnsi="Arial" w:cs="Arial"/>
          <w:lang w:eastAsia="zh-CN"/>
        </w:rPr>
        <w:t>RAN3 replied they will specify a NW-based solution</w:t>
      </w:r>
      <w:r w:rsidR="001D789E" w:rsidRPr="00535342">
        <w:rPr>
          <w:rFonts w:ascii="Arial" w:hAnsi="Arial" w:cs="Arial"/>
          <w:lang w:eastAsia="zh-CN"/>
        </w:rPr>
        <w:t>,</w:t>
      </w:r>
      <w:r w:rsidR="00345E3A" w:rsidRPr="00535342">
        <w:rPr>
          <w:rFonts w:ascii="Arial" w:hAnsi="Arial" w:cs="Arial"/>
          <w:lang w:eastAsia="zh-CN"/>
        </w:rPr>
        <w:t xml:space="preserve"> but that a UE-based solution is beneficial in addition.</w:t>
      </w:r>
    </w:p>
    <w:p w14:paraId="2AC16EB8" w14:textId="1513DDD5" w:rsidR="00345E3A" w:rsidRDefault="00345E3A" w:rsidP="00972393">
      <w:pPr>
        <w:rPr>
          <w:rFonts w:ascii="Arial" w:hAnsi="Arial" w:cs="Arial"/>
          <w:lang w:eastAsia="zh-CN"/>
        </w:rPr>
      </w:pPr>
      <w:r w:rsidRPr="00535342">
        <w:rPr>
          <w:rFonts w:ascii="Arial" w:hAnsi="Arial" w:cs="Arial"/>
          <w:lang w:eastAsia="zh-CN"/>
        </w:rPr>
        <w:t>We therefore propose here that the UE shall log the accumulated time with SCG state set to activated during the stay in the PSCell.</w:t>
      </w:r>
    </w:p>
    <w:p w14:paraId="63FFD56E" w14:textId="66EF301E" w:rsidR="00535342" w:rsidRPr="00535342" w:rsidRDefault="00535342" w:rsidP="00972393">
      <w:pPr>
        <w:rPr>
          <w:rFonts w:ascii="Arial" w:hAnsi="Arial" w:cs="Arial"/>
          <w:lang w:eastAsia="zh-CN"/>
        </w:rPr>
      </w:pPr>
      <w:r>
        <w:rPr>
          <w:rFonts w:ascii="Arial" w:hAnsi="Arial" w:cs="Arial"/>
          <w:lang w:eastAsia="zh-CN"/>
        </w:rPr>
        <w:t>Furthermore, we address some FFSs regarding RACH optimization for SDT.</w:t>
      </w:r>
    </w:p>
    <w:p w14:paraId="59E13DC4" w14:textId="1B14CC86" w:rsidR="004000E8" w:rsidRPr="00CE0424" w:rsidRDefault="00230D18" w:rsidP="00CE0424">
      <w:pPr>
        <w:pStyle w:val="Heading1"/>
      </w:pPr>
      <w:bookmarkStart w:id="2" w:name="_Ref178064866"/>
      <w:r>
        <w:t>2</w:t>
      </w:r>
      <w:r>
        <w:tab/>
      </w:r>
      <w:r w:rsidR="004000E8" w:rsidRPr="00CE0424">
        <w:t>Discussion</w:t>
      </w:r>
      <w:bookmarkEnd w:id="2"/>
    </w:p>
    <w:p w14:paraId="310B7BBE" w14:textId="0A31164B" w:rsidR="00F63950" w:rsidRDefault="00230D18" w:rsidP="00F63950">
      <w:pPr>
        <w:pStyle w:val="Heading2"/>
      </w:pPr>
      <w:bookmarkStart w:id="3" w:name="_Hlk189728689"/>
      <w:r>
        <w:t>2.1</w:t>
      </w:r>
      <w:r>
        <w:tab/>
      </w:r>
      <w:r w:rsidR="00972393" w:rsidRPr="00972393">
        <w:t>MHI Enhancement for SCG Deactivation/Activation</w:t>
      </w:r>
      <w:bookmarkEnd w:id="3"/>
    </w:p>
    <w:p w14:paraId="4B585BE3" w14:textId="7583FAD5" w:rsidR="00972393" w:rsidRDefault="00972393" w:rsidP="00972393">
      <w:pPr>
        <w:pStyle w:val="BodyText"/>
      </w:pPr>
      <w:r>
        <w:t>In Rel-16, Mobility History Information (MHI) was introduced, logging up to 16 PCells visited by the UE. In</w:t>
      </w:r>
      <w:r w:rsidR="008F7FAE">
        <w:t> </w:t>
      </w:r>
      <w:r>
        <w:t>Rel</w:t>
      </w:r>
      <w:r w:rsidR="008F7FAE">
        <w:noBreakHyphen/>
      </w:r>
      <w:r>
        <w:t>17, PSCell MHI was introduced, enabling the UE to log up to 16 visited PSCells, or time with no PSCell, across all reported PCells. In Rel-17, SCG activation and deactivation was also introduced, which enables power saving while still allowing fast access to the SCG when needed.</w:t>
      </w:r>
      <w:r w:rsidR="006A74F2">
        <w:t xml:space="preserve"> </w:t>
      </w:r>
      <w:r w:rsidRPr="00D07FF7">
        <w:t xml:space="preserve">In the Rel-19 SON/MDT Work Item </w:t>
      </w:r>
      <w:r w:rsidR="00D07FF7" w:rsidRPr="00D07FF7">
        <w:fldChar w:fldCharType="begin"/>
      </w:r>
      <w:r w:rsidR="00D07FF7" w:rsidRPr="00D07FF7">
        <w:instrText xml:space="preserve"> REF _Ref170227307 \r \h </w:instrText>
      </w:r>
      <w:r w:rsidR="00D07FF7">
        <w:instrText xml:space="preserve"> \* MERGEFORMAT </w:instrText>
      </w:r>
      <w:r w:rsidR="00D07FF7" w:rsidRPr="00D07FF7">
        <w:fldChar w:fldCharType="separate"/>
      </w:r>
      <w:r w:rsidR="00411647">
        <w:t>[1]</w:t>
      </w:r>
      <w:r w:rsidR="00D07FF7" w:rsidRPr="00D07FF7">
        <w:fldChar w:fldCharType="end"/>
      </w:r>
      <w:r w:rsidRPr="00D07FF7">
        <w:t>, MHI enhancement</w:t>
      </w:r>
      <w:r>
        <w:t xml:space="preserve"> for SCG deactivation/activation is listed as one of the objectives for the Work Item.</w:t>
      </w:r>
    </w:p>
    <w:p w14:paraId="1370CCC0" w14:textId="77777777" w:rsidR="00646D56" w:rsidRDefault="00646D56" w:rsidP="00646D56">
      <w:pPr>
        <w:pStyle w:val="BodyText"/>
      </w:pPr>
      <w:r>
        <w:t xml:space="preserve">The logging of Mobility History Information is performed when the stay in the cell to be logged is ending, typically upon handover or cell change. The cell the UE is leaving is then logged together with information on the time spent in the cell. Similarly, the logging of PSCell Mobility History Information is done upon addition of a PSCell, release of a PSCell, or upon change of PCell (since the PSCell entries are stored in a substructure to the PCell entries). Just as the PCell history, the PSCell history includes the cell ID and the time spent in the cell, or the time spent with no PSCell. The logged information will, after reporting to the network, help the network to understand the movement of the UE and identifying ping-pong or coverage issues in the network. </w:t>
      </w:r>
    </w:p>
    <w:p w14:paraId="696B92AD" w14:textId="77777777" w:rsidR="00646D56" w:rsidRDefault="00646D56" w:rsidP="00646D56">
      <w:pPr>
        <w:pStyle w:val="BodyText"/>
      </w:pPr>
      <w:r>
        <w:t>From the current MHI framework, there is no possibility to see from the Mobility History Information whether the SCG state has been set to activated or deactivated during the time the UE spent in the PSCell.</w:t>
      </w:r>
    </w:p>
    <w:p w14:paraId="5EE6E823" w14:textId="77777777" w:rsidR="00646D56" w:rsidRDefault="00646D56" w:rsidP="00646D56">
      <w:pPr>
        <w:pStyle w:val="Observation"/>
      </w:pPr>
      <w:bookmarkStart w:id="4" w:name="_Toc189814840"/>
      <w:r w:rsidRPr="00972393">
        <w:t>SCG activation and deactivation was introduced in Rel-17.</w:t>
      </w:r>
      <w:bookmarkEnd w:id="4"/>
    </w:p>
    <w:p w14:paraId="5B647921" w14:textId="77777777" w:rsidR="00646D56" w:rsidRPr="00CE0424" w:rsidRDefault="00646D56" w:rsidP="00646D56">
      <w:pPr>
        <w:pStyle w:val="Observation"/>
      </w:pPr>
      <w:bookmarkStart w:id="5" w:name="_Toc189814841"/>
      <w:r w:rsidRPr="00972393">
        <w:lastRenderedPageBreak/>
        <w:t>There is no possibility to see from the Mobility History Information whether the SCG state was set to activated or deactivated.</w:t>
      </w:r>
      <w:bookmarkEnd w:id="5"/>
    </w:p>
    <w:p w14:paraId="4D16DE81" w14:textId="232DB66C" w:rsidR="00646D56" w:rsidRDefault="00646D56" w:rsidP="00646D56">
      <w:pPr>
        <w:pStyle w:val="BodyText"/>
      </w:pPr>
      <w:r w:rsidRPr="00972393">
        <w:t>With the introduction of SCG activation and deactivation, a PSCell addition or change could take place with the SCG state set to either activated or deactivated. Information indicating the SCG state during the stay in the PSCell could give additional valuable insights and enable optimization of the configuration of dual connectivity.</w:t>
      </w:r>
      <w:r>
        <w:t xml:space="preserve"> </w:t>
      </w:r>
    </w:p>
    <w:p w14:paraId="4073B9D6" w14:textId="59607D14" w:rsidR="006C669D" w:rsidRDefault="006C669D" w:rsidP="00972393">
      <w:pPr>
        <w:pStyle w:val="BodyText"/>
      </w:pPr>
      <w:r>
        <w:t xml:space="preserve">In RAN2#127, RAN2 agreed that it is </w:t>
      </w:r>
      <w:r w:rsidRPr="002950C7">
        <w:t>beneficial for the network to have information about time spent in the PSCell in activated state vs. deactivated state</w:t>
      </w:r>
      <w:r>
        <w:t xml:space="preserve">. Two options for collecting the time </w:t>
      </w:r>
      <w:r w:rsidRPr="002950C7">
        <w:t xml:space="preserve">with SCG state set to </w:t>
      </w:r>
      <w:r>
        <w:t xml:space="preserve">activated and </w:t>
      </w:r>
      <w:r w:rsidRPr="002950C7">
        <w:t>deactivated</w:t>
      </w:r>
      <w:r>
        <w:t xml:space="preserve"> was discussed, namely a network-based solution or a UE based solution. An LS </w:t>
      </w:r>
      <w:r>
        <w:fldChar w:fldCharType="begin"/>
      </w:r>
      <w:r>
        <w:instrText xml:space="preserve"> REF _Ref177112547 \r \h </w:instrText>
      </w:r>
      <w:r>
        <w:fldChar w:fldCharType="separate"/>
      </w:r>
      <w:r w:rsidR="00646D56">
        <w:t>[</w:t>
      </w:r>
      <w:r w:rsidR="00411647">
        <w:t>2</w:t>
      </w:r>
      <w:r w:rsidR="00646D56">
        <w:t>]</w:t>
      </w:r>
      <w:r>
        <w:fldChar w:fldCharType="end"/>
      </w:r>
      <w:r>
        <w:t xml:space="preserve"> was written and sent to RAN3, asking </w:t>
      </w:r>
      <w:r w:rsidRPr="002950C7">
        <w:t xml:space="preserve">RAN3 to analyse whether </w:t>
      </w:r>
      <w:r>
        <w:t>a n</w:t>
      </w:r>
      <w:r w:rsidRPr="002950C7">
        <w:t>etwork-based solution is sufficient enough for network optimization, or whether a UE based solution is needed</w:t>
      </w:r>
      <w:r>
        <w:t>. In RAN3#126, this was discussed, and a reply LS was agreed</w:t>
      </w:r>
      <w:r w:rsidR="00646D56">
        <w:t xml:space="preserve"> </w:t>
      </w:r>
      <w:r w:rsidR="00646D56">
        <w:fldChar w:fldCharType="begin"/>
      </w:r>
      <w:r w:rsidR="00646D56">
        <w:instrText xml:space="preserve"> REF _Ref188629474 \r \h </w:instrText>
      </w:r>
      <w:r w:rsidR="00646D56">
        <w:fldChar w:fldCharType="separate"/>
      </w:r>
      <w:r w:rsidR="00646D56">
        <w:t>[</w:t>
      </w:r>
      <w:r w:rsidR="00411647">
        <w:t>3</w:t>
      </w:r>
      <w:r w:rsidR="00646D56">
        <w:t>]</w:t>
      </w:r>
      <w:r w:rsidR="00646D56">
        <w:fldChar w:fldCharType="end"/>
      </w:r>
      <w:r>
        <w:t>, stating th</w:t>
      </w:r>
      <w:r w:rsidR="00646D56">
        <w:t xml:space="preserve">at </w:t>
      </w:r>
      <w:r w:rsidR="002D7231" w:rsidRPr="002D7231">
        <w:rPr>
          <w:i/>
          <w:iCs/>
        </w:rPr>
        <w:t>RAN3 has agreed to support a network-based solution for enhancing SCG activation/deactivation</w:t>
      </w:r>
      <w:r w:rsidR="002D7231">
        <w:t xml:space="preserve">, and also that </w:t>
      </w:r>
      <w:r w:rsidR="00646D56" w:rsidRPr="002D7231">
        <w:rPr>
          <w:i/>
          <w:iCs/>
        </w:rPr>
        <w:t>RAN3 understands that UE based solution may also be beneficial in order to monitor SCG deactivation/activation across RRC connected-&gt;idle-&gt;connected transitions</w:t>
      </w:r>
      <w:r w:rsidR="00646D56" w:rsidRPr="00646D56">
        <w:t>.</w:t>
      </w:r>
    </w:p>
    <w:p w14:paraId="1740FD88" w14:textId="6E9583A6" w:rsidR="00972393" w:rsidRPr="00CE0424" w:rsidRDefault="00646D56" w:rsidP="00646D56">
      <w:pPr>
        <w:pStyle w:val="BodyText"/>
      </w:pPr>
      <w:r>
        <w:t xml:space="preserve">Based on </w:t>
      </w:r>
      <w:r w:rsidR="002D7231">
        <w:t>this</w:t>
      </w:r>
      <w:r>
        <w:t>,</w:t>
      </w:r>
      <w:r w:rsidR="002D7231">
        <w:t xml:space="preserve"> </w:t>
      </w:r>
      <w:r>
        <w:t>t</w:t>
      </w:r>
      <w:r w:rsidR="00972393" w:rsidRPr="00972393">
        <w:t>o increase the understanding of the secondary cell usage, information on the accumulated time with SCG state set to activated for each PSCell entry could be included in the M</w:t>
      </w:r>
      <w:r w:rsidR="002D7231">
        <w:t xml:space="preserve">obility </w:t>
      </w:r>
      <w:r w:rsidR="00972393" w:rsidRPr="00972393">
        <w:t>H</w:t>
      </w:r>
      <w:r w:rsidR="002D7231">
        <w:t xml:space="preserve">istory </w:t>
      </w:r>
      <w:r w:rsidR="00972393" w:rsidRPr="00972393">
        <w:t>I</w:t>
      </w:r>
      <w:r w:rsidR="002D7231">
        <w:t>nformation</w:t>
      </w:r>
      <w:r w:rsidR="00972393" w:rsidRPr="00972393">
        <w:t>. Since the time spent with the PSCell configured is already logged by the UE since Rel.17, this new information will give an indication of how large part of the time spent in the PSCell was spent in activated or deactivated state.</w:t>
      </w:r>
      <w:r w:rsidR="002D7231">
        <w:t xml:space="preserve"> We therefore propose the following:</w:t>
      </w:r>
    </w:p>
    <w:p w14:paraId="0908D9ED" w14:textId="43729472" w:rsidR="00972393" w:rsidRDefault="00972393" w:rsidP="00972393">
      <w:pPr>
        <w:pStyle w:val="Proposal"/>
      </w:pPr>
      <w:bookmarkStart w:id="6" w:name="_Toc189814843"/>
      <w:bookmarkStart w:id="7" w:name="_Ref190406817"/>
      <w:bookmarkStart w:id="8" w:name="_Toc226862296"/>
      <w:bookmarkStart w:id="9" w:name="_Toc347823621"/>
      <w:bookmarkStart w:id="10" w:name="_Toc347824073"/>
      <w:bookmarkStart w:id="11" w:name="_Toc347824246"/>
      <w:r w:rsidRPr="00972393">
        <w:t xml:space="preserve">For each PSCell entry of the MHI, log the accumulated time with SCG state set to activated during the stay in </w:t>
      </w:r>
      <w:bookmarkStart w:id="12" w:name="_Hlk170226738"/>
      <w:r w:rsidRPr="00972393">
        <w:t>the PSCell.</w:t>
      </w:r>
      <w:bookmarkEnd w:id="6"/>
    </w:p>
    <w:p w14:paraId="3391FEFC" w14:textId="77777777" w:rsidR="00C802FB" w:rsidRDefault="00C802FB" w:rsidP="00C802FB">
      <w:pPr>
        <w:pStyle w:val="Proposal"/>
        <w:numPr>
          <w:ilvl w:val="0"/>
          <w:numId w:val="0"/>
        </w:numPr>
        <w:ind w:left="1701" w:hanging="1701"/>
      </w:pPr>
    </w:p>
    <w:p w14:paraId="095A097F" w14:textId="7930C72D" w:rsidR="00C802FB" w:rsidRDefault="00C802FB" w:rsidP="00C802FB">
      <w:pPr>
        <w:pStyle w:val="Heading2"/>
      </w:pPr>
      <w:bookmarkStart w:id="13" w:name="_Hlk189728706"/>
      <w:r>
        <w:t>2.2</w:t>
      </w:r>
      <w:r>
        <w:tab/>
      </w:r>
      <w:r w:rsidRPr="00972393">
        <w:t>RA report logging in case of SDT</w:t>
      </w:r>
      <w:bookmarkEnd w:id="13"/>
    </w:p>
    <w:p w14:paraId="6FD6E134" w14:textId="77777777" w:rsidR="00C802FB" w:rsidRDefault="00C802FB" w:rsidP="00C802FB">
      <w:pPr>
        <w:rPr>
          <w:rFonts w:ascii="Arial" w:hAnsi="Arial"/>
          <w:lang w:eastAsia="zh-CN"/>
        </w:rPr>
      </w:pPr>
      <w:r>
        <w:rPr>
          <w:rFonts w:ascii="Arial" w:hAnsi="Arial"/>
          <w:lang w:eastAsia="zh-CN"/>
        </w:rPr>
        <w:t>During the last 3GPP</w:t>
      </w:r>
      <w:r w:rsidRPr="007711C3">
        <w:rPr>
          <w:rFonts w:ascii="Arial" w:hAnsi="Arial"/>
          <w:lang w:eastAsia="zh-CN"/>
        </w:rPr>
        <w:t xml:space="preserve"> </w:t>
      </w:r>
      <w:r>
        <w:rPr>
          <w:rFonts w:ascii="Arial" w:hAnsi="Arial"/>
          <w:lang w:eastAsia="zh-CN"/>
        </w:rPr>
        <w:t>meetings</w:t>
      </w:r>
      <w:r w:rsidRPr="007711C3">
        <w:rPr>
          <w:rFonts w:ascii="Arial" w:hAnsi="Arial"/>
          <w:lang w:eastAsia="zh-CN"/>
        </w:rPr>
        <w:t xml:space="preserve">, </w:t>
      </w:r>
      <w:r>
        <w:rPr>
          <w:rFonts w:ascii="Arial" w:hAnsi="Arial"/>
          <w:lang w:eastAsia="zh-CN"/>
        </w:rPr>
        <w:t>the following was agreed for the topic of SDT:</w:t>
      </w:r>
    </w:p>
    <w:p w14:paraId="218A7118" w14:textId="77777777" w:rsidR="00C802FB" w:rsidRPr="00972393" w:rsidRDefault="00C802FB" w:rsidP="00C802FB">
      <w:pPr>
        <w:rPr>
          <w:rFonts w:ascii="Arial" w:hAnsi="Arial"/>
          <w:lang w:eastAsia="zh-CN"/>
        </w:rPr>
      </w:pPr>
      <w:r w:rsidRPr="00972393">
        <w:rPr>
          <w:rFonts w:ascii="Arial" w:hAnsi="Arial"/>
          <w:noProof/>
          <w:lang w:eastAsia="zh-CN"/>
        </w:rPr>
        <mc:AlternateContent>
          <mc:Choice Requires="wps">
            <w:drawing>
              <wp:inline distT="0" distB="0" distL="0" distR="0" wp14:anchorId="69F4C753" wp14:editId="6E8FA639">
                <wp:extent cx="6157912" cy="1404620"/>
                <wp:effectExtent l="0" t="0" r="14605" b="266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14D57294" w14:textId="77777777" w:rsidR="00C802FB" w:rsidRDefault="00C802FB" w:rsidP="00C802FB">
                            <w:pPr>
                              <w:rPr>
                                <w:rFonts w:ascii="Arial" w:hAnsi="Arial"/>
                                <w:b/>
                                <w:bCs/>
                                <w:u w:val="single"/>
                                <w:lang w:eastAsia="zh-CN"/>
                              </w:rPr>
                            </w:pPr>
                            <w:r w:rsidRPr="00AB03CE">
                              <w:rPr>
                                <w:rFonts w:ascii="Arial" w:hAnsi="Arial"/>
                                <w:b/>
                                <w:bCs/>
                                <w:u w:val="single"/>
                                <w:lang w:eastAsia="zh-CN"/>
                              </w:rPr>
                              <w:t>From RAN2#128:</w:t>
                            </w:r>
                          </w:p>
                          <w:p w14:paraId="5B996311" w14:textId="77777777" w:rsidR="00C802FB" w:rsidRPr="00AB03CE" w:rsidRDefault="00C802FB" w:rsidP="00C802FB">
                            <w:pPr>
                              <w:rPr>
                                <w:rFonts w:ascii="Arial" w:hAnsi="Arial"/>
                                <w:lang w:eastAsia="zh-CN"/>
                              </w:rPr>
                            </w:pPr>
                            <w:r w:rsidRPr="00AB03CE">
                              <w:rPr>
                                <w:rFonts w:ascii="Arial" w:hAnsi="Arial"/>
                                <w:lang w:eastAsia="zh-CN"/>
                              </w:rPr>
                              <w:t>Agreements</w:t>
                            </w:r>
                          </w:p>
                          <w:p w14:paraId="267A7212" w14:textId="77777777" w:rsidR="00C802FB" w:rsidRPr="002728B5" w:rsidRDefault="00C802FB" w:rsidP="00C802FB">
                            <w:pPr>
                              <w:pStyle w:val="ListParagraph"/>
                              <w:numPr>
                                <w:ilvl w:val="0"/>
                                <w:numId w:val="30"/>
                              </w:numPr>
                              <w:rPr>
                                <w:rFonts w:ascii="Arial" w:hAnsi="Arial"/>
                                <w:sz w:val="20"/>
                                <w:szCs w:val="20"/>
                                <w:lang w:eastAsia="zh-CN"/>
                              </w:rPr>
                            </w:pPr>
                            <w:r w:rsidRPr="002728B5">
                              <w:rPr>
                                <w:rFonts w:ascii="Arial" w:hAnsi="Arial"/>
                                <w:sz w:val="20"/>
                                <w:szCs w:val="20"/>
                                <w:lang w:eastAsia="zh-CN"/>
                              </w:rPr>
                              <w:t>The UE logs the DL RSRP and UL data volume for the failed to initiate of RA-SDT in RA report.</w:t>
                            </w:r>
                          </w:p>
                          <w:p w14:paraId="4276EFC9" w14:textId="77777777" w:rsidR="00C802FB" w:rsidRPr="002728B5" w:rsidRDefault="00C802FB" w:rsidP="00C802FB">
                            <w:pPr>
                              <w:pStyle w:val="ListParagraph"/>
                              <w:numPr>
                                <w:ilvl w:val="0"/>
                                <w:numId w:val="30"/>
                              </w:numPr>
                              <w:rPr>
                                <w:rFonts w:ascii="Arial" w:hAnsi="Arial"/>
                                <w:sz w:val="20"/>
                                <w:szCs w:val="20"/>
                                <w:lang w:eastAsia="zh-CN"/>
                              </w:rPr>
                            </w:pPr>
                            <w:r w:rsidRPr="002728B5">
                              <w:rPr>
                                <w:rFonts w:ascii="Arial" w:hAnsi="Arial"/>
                                <w:sz w:val="20"/>
                                <w:szCs w:val="20"/>
                                <w:lang w:eastAsia="zh-CN"/>
                              </w:rPr>
                              <w:t>The following failure causes can be logged for failed SDT in RA report:</w:t>
                            </w:r>
                          </w:p>
                          <w:p w14:paraId="67D9C44A"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receiving indication from the MCG RLC that the maximum number of retransmissions has been reached while SDT procedure is ongoing;</w:t>
                            </w:r>
                          </w:p>
                          <w:p w14:paraId="284C35A8"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random access problem indication is received from MCG MAC while SDT procedure is ongoing;</w:t>
                            </w:r>
                          </w:p>
                          <w:p w14:paraId="0EB341A8"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T319a expires;</w:t>
                            </w:r>
                          </w:p>
                          <w:p w14:paraId="0DEA726C"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the lower layers indicate that cg-SDT-TimeAlignmentTimer or the configuredGrantTimer expired before receiving network response for the UL CG-SDT transmission with CCCH message while SDT procedure is ongoing;</w:t>
                            </w:r>
                          </w:p>
                          <w:p w14:paraId="76344909"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FFS: unsuccessfully completed upon cell re-selection.</w:t>
                            </w:r>
                          </w:p>
                        </w:txbxContent>
                      </wps:txbx>
                      <wps:bodyPr rot="0" vert="horz" wrap="square" lIns="91440" tIns="45720" rIns="91440" bIns="45720" anchor="t" anchorCtr="0">
                        <a:spAutoFit/>
                      </wps:bodyPr>
                    </wps:wsp>
                  </a:graphicData>
                </a:graphic>
              </wp:inline>
            </w:drawing>
          </mc:Choice>
          <mc:Fallback>
            <w:pict>
              <v:shape w14:anchorId="69F4C753" id="Text Box 1" o:spid="_x0000_s1027"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hTs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pZX62JO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BxvvrX3AAAAAUBAAAPAAAAZHJzL2Rvd25yZXYueG1sTI/BTsMwEETvSPyDtUjcqNNI&#10;FBriVIiqZ0pBQtw29jaOGq9D7KYpX4/hApeVRjOaeVuuJteJkYbQelYwn2UgiLU3LTcK3l43N/cg&#10;QkQ22HkmBWcKsKouL0osjD/xC4272IhUwqFABTbGvpAyaEsOw8z3xMnb+8FhTHJopBnwlMpdJ/Ms&#10;W0iHLacFiz09WdKH3dEpCOvtZ6/32/pgzfnreT3e6vfNh1LXV9PjA4hIU/wLww9+QocqMdX+yCaI&#10;TkF6JP7e5C0XyzsQtYI8n+cgq1L+p6++AQAA//8DAFBLAQItABQABgAIAAAAIQC2gziS/gAAAOEB&#10;AAATAAAAAAAAAAAAAAAAAAAAAABbQ29udGVudF9UeXBlc10ueG1sUEsBAi0AFAAGAAgAAAAhADj9&#10;If/WAAAAlAEAAAsAAAAAAAAAAAAAAAAALwEAAF9yZWxzLy5yZWxzUEsBAi0AFAAGAAgAAAAhANQ+&#10;FOwUAgAAJwQAAA4AAAAAAAAAAAAAAAAALgIAAGRycy9lMm9Eb2MueG1sUEsBAi0AFAAGAAgAAAAh&#10;AHG++tfcAAAABQEAAA8AAAAAAAAAAAAAAAAAbgQAAGRycy9kb3ducmV2LnhtbFBLBQYAAAAABAAE&#10;APMAAAB3BQAAAAA=&#10;">
                <v:textbox style="mso-fit-shape-to-text:t">
                  <w:txbxContent>
                    <w:p w14:paraId="14D57294" w14:textId="77777777" w:rsidR="00C802FB" w:rsidRDefault="00C802FB" w:rsidP="00C802FB">
                      <w:pPr>
                        <w:rPr>
                          <w:rFonts w:ascii="Arial" w:hAnsi="Arial"/>
                          <w:b/>
                          <w:bCs/>
                          <w:u w:val="single"/>
                          <w:lang w:eastAsia="zh-CN"/>
                        </w:rPr>
                      </w:pPr>
                      <w:r w:rsidRPr="00AB03CE">
                        <w:rPr>
                          <w:rFonts w:ascii="Arial" w:hAnsi="Arial"/>
                          <w:b/>
                          <w:bCs/>
                          <w:u w:val="single"/>
                          <w:lang w:eastAsia="zh-CN"/>
                        </w:rPr>
                        <w:t>From RAN2#128:</w:t>
                      </w:r>
                    </w:p>
                    <w:p w14:paraId="5B996311" w14:textId="77777777" w:rsidR="00C802FB" w:rsidRPr="00AB03CE" w:rsidRDefault="00C802FB" w:rsidP="00C802FB">
                      <w:pPr>
                        <w:rPr>
                          <w:rFonts w:ascii="Arial" w:hAnsi="Arial"/>
                          <w:lang w:eastAsia="zh-CN"/>
                        </w:rPr>
                      </w:pPr>
                      <w:r w:rsidRPr="00AB03CE">
                        <w:rPr>
                          <w:rFonts w:ascii="Arial" w:hAnsi="Arial"/>
                          <w:lang w:eastAsia="zh-CN"/>
                        </w:rPr>
                        <w:t>Agreements</w:t>
                      </w:r>
                    </w:p>
                    <w:p w14:paraId="267A7212" w14:textId="77777777" w:rsidR="00C802FB" w:rsidRPr="002728B5" w:rsidRDefault="00C802FB" w:rsidP="00C802FB">
                      <w:pPr>
                        <w:pStyle w:val="ListParagraph"/>
                        <w:numPr>
                          <w:ilvl w:val="0"/>
                          <w:numId w:val="30"/>
                        </w:numPr>
                        <w:rPr>
                          <w:rFonts w:ascii="Arial" w:hAnsi="Arial"/>
                          <w:sz w:val="20"/>
                          <w:szCs w:val="20"/>
                          <w:lang w:eastAsia="zh-CN"/>
                        </w:rPr>
                      </w:pPr>
                      <w:r w:rsidRPr="002728B5">
                        <w:rPr>
                          <w:rFonts w:ascii="Arial" w:hAnsi="Arial"/>
                          <w:sz w:val="20"/>
                          <w:szCs w:val="20"/>
                          <w:lang w:eastAsia="zh-CN"/>
                        </w:rPr>
                        <w:t>The UE logs the DL RSRP and UL data volume for the failed to initiate of RA-SDT in RA report.</w:t>
                      </w:r>
                    </w:p>
                    <w:p w14:paraId="4276EFC9" w14:textId="77777777" w:rsidR="00C802FB" w:rsidRPr="002728B5" w:rsidRDefault="00C802FB" w:rsidP="00C802FB">
                      <w:pPr>
                        <w:pStyle w:val="ListParagraph"/>
                        <w:numPr>
                          <w:ilvl w:val="0"/>
                          <w:numId w:val="30"/>
                        </w:numPr>
                        <w:rPr>
                          <w:rFonts w:ascii="Arial" w:hAnsi="Arial"/>
                          <w:sz w:val="20"/>
                          <w:szCs w:val="20"/>
                          <w:lang w:eastAsia="zh-CN"/>
                        </w:rPr>
                      </w:pPr>
                      <w:r w:rsidRPr="002728B5">
                        <w:rPr>
                          <w:rFonts w:ascii="Arial" w:hAnsi="Arial"/>
                          <w:sz w:val="20"/>
                          <w:szCs w:val="20"/>
                          <w:lang w:eastAsia="zh-CN"/>
                        </w:rPr>
                        <w:t>The following failure causes can be logged for failed SDT in RA report:</w:t>
                      </w:r>
                    </w:p>
                    <w:p w14:paraId="67D9C44A"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receiving indication from the MCG RLC that the maximum number of retransmissions has been reached while SDT procedure is ongoing;</w:t>
                      </w:r>
                    </w:p>
                    <w:p w14:paraId="284C35A8"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random access problem indication is received from MCG MAC while SDT procedure is ongoing;</w:t>
                      </w:r>
                    </w:p>
                    <w:p w14:paraId="0EB341A8"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T319a expires;</w:t>
                      </w:r>
                    </w:p>
                    <w:p w14:paraId="0DEA726C"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upon the lower layers indicate that cg-SDT-TimeAlignmentTimer or the configuredGrantTimer expired before receiving network response for the UL CG-SDT transmission with CCCH message while SDT procedure is ongoing;</w:t>
                      </w:r>
                    </w:p>
                    <w:p w14:paraId="76344909" w14:textId="77777777" w:rsidR="00C802FB" w:rsidRPr="002728B5" w:rsidRDefault="00C802FB" w:rsidP="00C802FB">
                      <w:pPr>
                        <w:pStyle w:val="ListParagraph"/>
                        <w:numPr>
                          <w:ilvl w:val="0"/>
                          <w:numId w:val="31"/>
                        </w:numPr>
                        <w:rPr>
                          <w:rFonts w:ascii="Arial" w:hAnsi="Arial"/>
                          <w:sz w:val="20"/>
                          <w:szCs w:val="20"/>
                          <w:lang w:eastAsia="zh-CN"/>
                        </w:rPr>
                      </w:pPr>
                      <w:r w:rsidRPr="002728B5">
                        <w:rPr>
                          <w:rFonts w:ascii="Arial" w:hAnsi="Arial"/>
                          <w:sz w:val="20"/>
                          <w:szCs w:val="20"/>
                          <w:lang w:eastAsia="zh-CN"/>
                        </w:rPr>
                        <w:t>FFS: unsuccessfully completed upon cell re-selection.</w:t>
                      </w:r>
                    </w:p>
                  </w:txbxContent>
                </v:textbox>
                <w10:anchorlock/>
              </v:shape>
            </w:pict>
          </mc:Fallback>
        </mc:AlternateContent>
      </w:r>
    </w:p>
    <w:p w14:paraId="57215A18" w14:textId="005B8B9E" w:rsidR="00C802FB" w:rsidRDefault="00C802FB" w:rsidP="00C802FB">
      <w:pPr>
        <w:rPr>
          <w:rFonts w:ascii="Arial" w:hAnsi="Arial"/>
          <w:lang w:eastAsia="zh-CN"/>
        </w:rPr>
      </w:pPr>
      <w:r>
        <w:rPr>
          <w:rFonts w:ascii="Arial" w:hAnsi="Arial"/>
          <w:lang w:eastAsia="zh-CN"/>
        </w:rPr>
        <w:t>As captured above, in RAN2#128 meeting, there is an FFS on whether to include SDT failure due to cell re-selection. Adding this information in the RA report aids network to analyse the reason of SDT failure. However, cell reselection is triggered by the UE and not under control of the network; if the network is unaware of the SDT failure reason and optimizes SDT parameters such as data volume threshold and RSRP threshold, it would lead to further potential failures. Reporting such information enables the network to avoid unnecessary optimization of the SDT related parameters.</w:t>
      </w:r>
    </w:p>
    <w:p w14:paraId="358A2349" w14:textId="77777777" w:rsidR="00C802FB" w:rsidRDefault="00C802FB" w:rsidP="00C802FB">
      <w:pPr>
        <w:pStyle w:val="Proposal"/>
        <w:jc w:val="left"/>
      </w:pPr>
      <w:bookmarkStart w:id="14" w:name="_Toc189814844"/>
      <w:r>
        <w:t>UE includes failure cause upon SDT being unsuccessfully completed on cell-reselection.</w:t>
      </w:r>
      <w:bookmarkEnd w:id="14"/>
    </w:p>
    <w:p w14:paraId="0F7875D3" w14:textId="77777777" w:rsidR="00C802FB" w:rsidRDefault="00C802FB" w:rsidP="00C802FB">
      <w:pPr>
        <w:rPr>
          <w:rFonts w:ascii="Arial" w:hAnsi="Arial"/>
          <w:lang w:eastAsia="zh-CN"/>
        </w:rPr>
      </w:pPr>
    </w:p>
    <w:p w14:paraId="1B4CCC03" w14:textId="77777777" w:rsidR="00C802FB" w:rsidRDefault="00C802FB" w:rsidP="00C802FB">
      <w:pPr>
        <w:rPr>
          <w:rFonts w:ascii="Arial" w:hAnsi="Arial"/>
          <w:lang w:eastAsia="zh-CN"/>
        </w:rPr>
      </w:pPr>
      <w:r>
        <w:rPr>
          <w:rFonts w:ascii="Arial" w:hAnsi="Arial"/>
          <w:lang w:eastAsia="zh-CN"/>
        </w:rPr>
        <w:t xml:space="preserve">Furthermore, it was agreed to include a failure cause if the CG SDT fails due to expiry of </w:t>
      </w:r>
      <w:r w:rsidRPr="00AB03CE">
        <w:rPr>
          <w:rFonts w:ascii="Arial" w:hAnsi="Arial"/>
          <w:i/>
          <w:iCs/>
          <w:lang w:eastAsia="zh-CN"/>
        </w:rPr>
        <w:t>cg-SDT-TimeAlignmentTimer</w:t>
      </w:r>
      <w:r>
        <w:rPr>
          <w:rFonts w:ascii="Arial" w:hAnsi="Arial"/>
          <w:lang w:eastAsia="zh-CN"/>
        </w:rPr>
        <w:t xml:space="preserve"> or the </w:t>
      </w:r>
      <w:r w:rsidRPr="00AB03CE">
        <w:rPr>
          <w:rFonts w:ascii="Arial" w:hAnsi="Arial"/>
          <w:i/>
          <w:iCs/>
          <w:lang w:eastAsia="zh-CN"/>
        </w:rPr>
        <w:t>configuredGrantTimer</w:t>
      </w:r>
      <w:r>
        <w:rPr>
          <w:rFonts w:ascii="Arial" w:hAnsi="Arial"/>
          <w:lang w:eastAsia="zh-CN"/>
        </w:rPr>
        <w:t xml:space="preserve">. </w:t>
      </w:r>
    </w:p>
    <w:p w14:paraId="6C3B56F2" w14:textId="77777777" w:rsidR="00C802FB" w:rsidRPr="00AB03CE" w:rsidRDefault="00C802FB" w:rsidP="00C802FB">
      <w:pPr>
        <w:pStyle w:val="Observation"/>
        <w:rPr>
          <w:lang w:eastAsia="zh-CN"/>
        </w:rPr>
      </w:pPr>
      <w:bookmarkStart w:id="15" w:name="_Toc189814842"/>
      <w:r>
        <w:t>RAN2 has agreed to include CG-SDT related failure cause in the RA report.</w:t>
      </w:r>
      <w:bookmarkEnd w:id="15"/>
    </w:p>
    <w:p w14:paraId="3B83632C" w14:textId="77777777" w:rsidR="00C802FB" w:rsidRDefault="00C802FB" w:rsidP="00C802FB">
      <w:pPr>
        <w:rPr>
          <w:rFonts w:ascii="Arial" w:hAnsi="Arial"/>
          <w:lang w:eastAsia="zh-CN"/>
        </w:rPr>
      </w:pPr>
      <w:r>
        <w:rPr>
          <w:rFonts w:ascii="Arial" w:hAnsi="Arial"/>
          <w:lang w:eastAsia="zh-CN"/>
        </w:rPr>
        <w:lastRenderedPageBreak/>
        <w:t xml:space="preserve">However, there are other causes of CG-SDT related failures, e.g., not meeting the </w:t>
      </w:r>
      <w:r w:rsidRPr="007176B0">
        <w:rPr>
          <w:rFonts w:ascii="Arial" w:hAnsi="Arial"/>
          <w:i/>
          <w:iCs/>
          <w:lang w:eastAsia="zh-CN"/>
        </w:rPr>
        <w:t>cg-SDT-RSRP-ThresholdSSB</w:t>
      </w:r>
      <w:r>
        <w:rPr>
          <w:rFonts w:ascii="Arial" w:hAnsi="Arial"/>
          <w:lang w:eastAsia="zh-CN"/>
        </w:rPr>
        <w:t xml:space="preserve"> conditions. Including these other conditions aids the network to perform root-cause analysis of the SDT failure.</w:t>
      </w:r>
    </w:p>
    <w:p w14:paraId="3A806022" w14:textId="77777777" w:rsidR="00C802FB" w:rsidRPr="005B37D1" w:rsidRDefault="00C802FB" w:rsidP="00C802FB">
      <w:pPr>
        <w:pStyle w:val="Proposal"/>
      </w:pPr>
      <w:r>
        <w:t xml:space="preserve"> </w:t>
      </w:r>
      <w:bookmarkStart w:id="16" w:name="_Toc189814845"/>
      <w:r>
        <w:t xml:space="preserve">RAN2 to include other causes of CG-SDT evaluation failure prior to the random-access procedure in the RA report, i.e. conditions on </w:t>
      </w:r>
      <w:r w:rsidRPr="007176B0">
        <w:rPr>
          <w:i/>
          <w:iCs/>
        </w:rPr>
        <w:t>cg-SDT-RSRP-ThresholdSSB</w:t>
      </w:r>
      <w:r>
        <w:t xml:space="preserve"> not met.</w:t>
      </w:r>
      <w:bookmarkEnd w:id="16"/>
    </w:p>
    <w:p w14:paraId="6DDB6598" w14:textId="77777777" w:rsidR="00C802FB" w:rsidRPr="00C802FB" w:rsidRDefault="00C802FB" w:rsidP="00C802FB"/>
    <w:bookmarkEnd w:id="7"/>
    <w:bookmarkEnd w:id="8"/>
    <w:bookmarkEnd w:id="9"/>
    <w:bookmarkEnd w:id="10"/>
    <w:bookmarkEnd w:id="11"/>
    <w:bookmarkEnd w:id="12"/>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1E1E2FF" w14:textId="1A3D4D6C" w:rsidR="00B631F3"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4840" w:history="1">
        <w:r w:rsidR="00B631F3" w:rsidRPr="009D2B50">
          <w:rPr>
            <w:rStyle w:val="Hyperlink"/>
            <w:noProof/>
          </w:rPr>
          <w:t>Observation 1</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9D2B50">
          <w:rPr>
            <w:rStyle w:val="Hyperlink"/>
            <w:noProof/>
          </w:rPr>
          <w:t>SCG activation and deactivation was introduced in Rel-17.</w:t>
        </w:r>
      </w:hyperlink>
    </w:p>
    <w:p w14:paraId="71CE0A7B" w14:textId="10F27B57" w:rsidR="00B631F3" w:rsidRDefault="00C5563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814841" w:history="1">
        <w:r w:rsidR="00B631F3" w:rsidRPr="009D2B50">
          <w:rPr>
            <w:rStyle w:val="Hyperlink"/>
            <w:noProof/>
          </w:rPr>
          <w:t>Observation 2</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9D2B50">
          <w:rPr>
            <w:rStyle w:val="Hyperlink"/>
            <w:noProof/>
          </w:rPr>
          <w:t>There is no possibility to see from the Mobility History Information whether the SCG state was set to activated or deactivated.</w:t>
        </w:r>
      </w:hyperlink>
    </w:p>
    <w:p w14:paraId="0874F338" w14:textId="5D0DFA48" w:rsidR="00B631F3" w:rsidRDefault="00C5563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814842" w:history="1">
        <w:r w:rsidR="00B631F3" w:rsidRPr="009D2B50">
          <w:rPr>
            <w:rStyle w:val="Hyperlink"/>
            <w:noProof/>
          </w:rPr>
          <w:t>Observation 3</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9D2B50">
          <w:rPr>
            <w:rStyle w:val="Hyperlink"/>
            <w:noProof/>
          </w:rPr>
          <w:t>RAN2 has agreed to include CG-SDT related failure cause in the RA report.</w:t>
        </w:r>
      </w:hyperlink>
    </w:p>
    <w:p w14:paraId="7570C759" w14:textId="09A3596E"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7" w:name="_In-sequence_SDU_delivery"/>
    <w:bookmarkEnd w:id="17"/>
    <w:p w14:paraId="43FF98B4" w14:textId="7F9A763F" w:rsidR="00B631F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4843" w:history="1">
        <w:r w:rsidR="00B631F3" w:rsidRPr="00206592">
          <w:rPr>
            <w:rStyle w:val="Hyperlink"/>
            <w:noProof/>
          </w:rPr>
          <w:t>Proposal 1</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206592">
          <w:rPr>
            <w:rStyle w:val="Hyperlink"/>
            <w:noProof/>
          </w:rPr>
          <w:t>For each PSCell entry of the MHI, log the accumulated time with SCG state set to activated during the stay in the PSCell.</w:t>
        </w:r>
      </w:hyperlink>
    </w:p>
    <w:p w14:paraId="3F920ED4" w14:textId="0A78F612" w:rsidR="00B631F3" w:rsidRDefault="00C5563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814844" w:history="1">
        <w:r w:rsidR="00B631F3" w:rsidRPr="00206592">
          <w:rPr>
            <w:rStyle w:val="Hyperlink"/>
            <w:noProof/>
          </w:rPr>
          <w:t>Proposal 2</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206592">
          <w:rPr>
            <w:rStyle w:val="Hyperlink"/>
            <w:noProof/>
          </w:rPr>
          <w:t>UE includes failure cause upon SDT being unsuccessfully completed on cell-reselection.</w:t>
        </w:r>
      </w:hyperlink>
    </w:p>
    <w:p w14:paraId="614FA1E5" w14:textId="4B29AA90" w:rsidR="00B631F3" w:rsidRDefault="00C5563B">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814845" w:history="1">
        <w:r w:rsidR="00B631F3" w:rsidRPr="00206592">
          <w:rPr>
            <w:rStyle w:val="Hyperlink"/>
            <w:noProof/>
          </w:rPr>
          <w:t>Proposal 3</w:t>
        </w:r>
        <w:r w:rsidR="00B631F3">
          <w:rPr>
            <w:rFonts w:asciiTheme="minorHAnsi" w:eastAsiaTheme="minorEastAsia" w:hAnsiTheme="minorHAnsi" w:cstheme="minorBidi"/>
            <w:b w:val="0"/>
            <w:noProof/>
            <w:kern w:val="2"/>
            <w:sz w:val="24"/>
            <w:szCs w:val="24"/>
            <w:lang w:val="en-SE" w:eastAsia="en-SE"/>
            <w14:ligatures w14:val="standardContextual"/>
          </w:rPr>
          <w:tab/>
        </w:r>
        <w:r w:rsidR="00B631F3" w:rsidRPr="00206592">
          <w:rPr>
            <w:rStyle w:val="Hyperlink"/>
            <w:noProof/>
          </w:rPr>
          <w:t xml:space="preserve">RAN2 to include other causes of CG-SDT evaluation failure prior to the random-access procedure in the RA report, i.e. conditions on </w:t>
        </w:r>
        <w:r w:rsidR="00B631F3" w:rsidRPr="00206592">
          <w:rPr>
            <w:rStyle w:val="Hyperlink"/>
            <w:i/>
            <w:iCs/>
            <w:noProof/>
          </w:rPr>
          <w:t>cg-SDT-RSRP-ThresholdSSB</w:t>
        </w:r>
        <w:r w:rsidR="00B631F3" w:rsidRPr="00206592">
          <w:rPr>
            <w:rStyle w:val="Hyperlink"/>
            <w:noProof/>
          </w:rPr>
          <w:t xml:space="preserve"> not met.</w:t>
        </w:r>
      </w:hyperlink>
    </w:p>
    <w:p w14:paraId="64F3E645" w14:textId="4702C7F3" w:rsidR="00C01F33" w:rsidRPr="00CE0424" w:rsidRDefault="006E1C82" w:rsidP="002D229A">
      <w:pPr>
        <w:pStyle w:val="BodyText"/>
      </w:pPr>
      <w:r>
        <w:rPr>
          <w:b/>
          <w:bCs/>
          <w:lang w:val="en-US"/>
        </w:rPr>
        <w:fldChar w:fldCharType="end"/>
      </w:r>
    </w:p>
    <w:p w14:paraId="7BD5CFC3" w14:textId="4EB1DE2D" w:rsidR="00F507D1" w:rsidRPr="00CE0424" w:rsidRDefault="00F507D1" w:rsidP="00CC666A">
      <w:pPr>
        <w:pStyle w:val="Heading1"/>
        <w:tabs>
          <w:tab w:val="left" w:pos="3710"/>
        </w:tabs>
      </w:pPr>
      <w:r w:rsidRPr="00CE0424">
        <w:t>References</w:t>
      </w:r>
      <w:r w:rsidR="00CC666A">
        <w:tab/>
      </w:r>
    </w:p>
    <w:p w14:paraId="036A4E10" w14:textId="1A7C9C11" w:rsidR="00387375" w:rsidRDefault="00387375" w:rsidP="00387375">
      <w:pPr>
        <w:pStyle w:val="Reference"/>
      </w:pPr>
      <w:bookmarkStart w:id="18" w:name="_Ref170227307"/>
      <w:r w:rsidRPr="00387375">
        <w:t>RP-234038, New WID: Data collection for SON (Self-Organising Networks)/MDT (Minimization of Drive Tests) in NR standalone and MR-DC (Multi-Radio Dual Connectivity) Phase 4, CMCC, RAN #102, Dec. 11th – 15th, 2023.</w:t>
      </w:r>
      <w:bookmarkEnd w:id="18"/>
    </w:p>
    <w:p w14:paraId="66236FA1" w14:textId="77777777" w:rsidR="00646D56" w:rsidRDefault="00646D56" w:rsidP="00646D56">
      <w:pPr>
        <w:pStyle w:val="Reference"/>
      </w:pPr>
      <w:bookmarkStart w:id="19" w:name="_Ref177112547"/>
      <w:r w:rsidRPr="001F0631">
        <w:t>R3-245009</w:t>
      </w:r>
      <w:r w:rsidRPr="00CE0424">
        <w:t xml:space="preserve">, </w:t>
      </w:r>
      <w:r w:rsidRPr="002950C7">
        <w:t>LS on MHI enhancement solution for SCG deactivation/activation</w:t>
      </w:r>
      <w:r w:rsidRPr="00CE0424">
        <w:t xml:space="preserve">, </w:t>
      </w:r>
      <w:r>
        <w:t>RAN2</w:t>
      </w:r>
      <w:r w:rsidRPr="00CE0424">
        <w:t xml:space="preserve">, </w:t>
      </w:r>
      <w:r w:rsidRPr="002950C7">
        <w:t>3GPP TSG RAN WG2#127</w:t>
      </w:r>
      <w:r w:rsidRPr="00CE0424">
        <w:t xml:space="preserve">, </w:t>
      </w:r>
      <w:r w:rsidRPr="002950C7">
        <w:t>Maastricht, Netherlands, 19</w:t>
      </w:r>
      <w:r w:rsidRPr="00803DE5">
        <w:rPr>
          <w:vertAlign w:val="superscript"/>
        </w:rPr>
        <w:t>th</w:t>
      </w:r>
      <w:r>
        <w:t xml:space="preserve"> </w:t>
      </w:r>
      <w:r w:rsidRPr="002950C7">
        <w:t>- 23</w:t>
      </w:r>
      <w:r w:rsidRPr="00803DE5">
        <w:rPr>
          <w:vertAlign w:val="superscript"/>
        </w:rPr>
        <w:t>rd</w:t>
      </w:r>
      <w:r>
        <w:t xml:space="preserve"> </w:t>
      </w:r>
      <w:r w:rsidRPr="002950C7">
        <w:t>August 2024</w:t>
      </w:r>
      <w:r>
        <w:t>.</w:t>
      </w:r>
      <w:bookmarkEnd w:id="19"/>
    </w:p>
    <w:p w14:paraId="36C95DE2" w14:textId="1DACAFE1" w:rsidR="00646D56" w:rsidRPr="002D229A" w:rsidRDefault="00646D56" w:rsidP="00387375">
      <w:pPr>
        <w:pStyle w:val="Reference"/>
      </w:pPr>
      <w:bookmarkStart w:id="20" w:name="_Ref188629474"/>
      <w:r w:rsidRPr="00646D56">
        <w:t>R3-247906</w:t>
      </w:r>
      <w:r>
        <w:t xml:space="preserve">, </w:t>
      </w:r>
      <w:r w:rsidRPr="00646D56">
        <w:t>Reply LS on MHI enhancement solution for SCG deactivation/activation</w:t>
      </w:r>
      <w:r>
        <w:t xml:space="preserve">, </w:t>
      </w:r>
      <w:r w:rsidRPr="00646D56">
        <w:t>RAN2, 3GPP TSG RAN WG</w:t>
      </w:r>
      <w:r>
        <w:t>3</w:t>
      </w:r>
      <w:r w:rsidRPr="00646D56">
        <w:t>#12</w:t>
      </w:r>
      <w:r>
        <w:t xml:space="preserve">6, </w:t>
      </w:r>
      <w:r w:rsidRPr="00646D56">
        <w:t>Orlando, US, 18 - 22 Nov, 2024</w:t>
      </w:r>
      <w:r>
        <w:t>.</w:t>
      </w:r>
      <w:bookmarkEnd w:id="20"/>
    </w:p>
    <w:p w14:paraId="75A2579A" w14:textId="0F0C7FBC"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97193" w14:textId="77777777" w:rsidR="009579C6" w:rsidRDefault="009579C6">
      <w:r>
        <w:separator/>
      </w:r>
    </w:p>
  </w:endnote>
  <w:endnote w:type="continuationSeparator" w:id="0">
    <w:p w14:paraId="6736D4A2" w14:textId="77777777" w:rsidR="009579C6" w:rsidRDefault="009579C6">
      <w:r>
        <w:continuationSeparator/>
      </w:r>
    </w:p>
  </w:endnote>
  <w:endnote w:type="continuationNotice" w:id="1">
    <w:p w14:paraId="2FDF8A55" w14:textId="77777777" w:rsidR="009579C6" w:rsidRDefault="00957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4799" w14:textId="77777777" w:rsidR="009579C6" w:rsidRDefault="009579C6">
      <w:r>
        <w:separator/>
      </w:r>
    </w:p>
  </w:footnote>
  <w:footnote w:type="continuationSeparator" w:id="0">
    <w:p w14:paraId="3B9FC7BB" w14:textId="77777777" w:rsidR="009579C6" w:rsidRDefault="009579C6">
      <w:r>
        <w:continuationSeparator/>
      </w:r>
    </w:p>
  </w:footnote>
  <w:footnote w:type="continuationNotice" w:id="1">
    <w:p w14:paraId="4B44CB0A" w14:textId="77777777" w:rsidR="009579C6" w:rsidRDefault="00957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B9406B"/>
    <w:multiLevelType w:val="hybridMultilevel"/>
    <w:tmpl w:val="4E64A3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B411F6"/>
    <w:multiLevelType w:val="hybridMultilevel"/>
    <w:tmpl w:val="941C8320"/>
    <w:lvl w:ilvl="0" w:tplc="4330F6C6">
      <w:start w:val="2"/>
      <w:numFmt w:val="bullet"/>
      <w:lvlText w:val="-"/>
      <w:lvlJc w:val="left"/>
      <w:pPr>
        <w:ind w:left="927" w:hanging="360"/>
      </w:pPr>
      <w:rPr>
        <w:rFonts w:ascii="Cambria Math" w:eastAsia="Times New Roman" w:hAnsi="Cambria Math" w:cs="Cambria Math"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0713998">
    <w:abstractNumId w:val="4"/>
  </w:num>
  <w:num w:numId="2" w16cid:durableId="906646301">
    <w:abstractNumId w:val="21"/>
  </w:num>
  <w:num w:numId="3" w16cid:durableId="1044866941">
    <w:abstractNumId w:val="16"/>
  </w:num>
  <w:num w:numId="4" w16cid:durableId="1231427303">
    <w:abstractNumId w:val="17"/>
  </w:num>
  <w:num w:numId="5" w16cid:durableId="1072850479">
    <w:abstractNumId w:val="13"/>
  </w:num>
  <w:num w:numId="6" w16cid:durableId="394863115">
    <w:abstractNumId w:val="20"/>
  </w:num>
  <w:num w:numId="7" w16cid:durableId="390274823">
    <w:abstractNumId w:val="26"/>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8"/>
  </w:num>
  <w:num w:numId="16" w16cid:durableId="1310598948">
    <w:abstractNumId w:val="28"/>
  </w:num>
  <w:num w:numId="17" w16cid:durableId="1740782811">
    <w:abstractNumId w:val="8"/>
  </w:num>
  <w:num w:numId="18" w16cid:durableId="1461649906">
    <w:abstractNumId w:val="9"/>
  </w:num>
  <w:num w:numId="19" w16cid:durableId="1006636967">
    <w:abstractNumId w:val="7"/>
  </w:num>
  <w:num w:numId="20" w16cid:durableId="1415129450">
    <w:abstractNumId w:val="30"/>
  </w:num>
  <w:num w:numId="21" w16cid:durableId="302731420">
    <w:abstractNumId w:val="15"/>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7"/>
  </w:num>
  <w:num w:numId="26" w16cid:durableId="723338061">
    <w:abstractNumId w:val="10"/>
  </w:num>
  <w:num w:numId="27" w16cid:durableId="501316963">
    <w:abstractNumId w:val="12"/>
  </w:num>
  <w:num w:numId="28" w16cid:durableId="634990733">
    <w:abstractNumId w:val="25"/>
  </w:num>
  <w:num w:numId="29" w16cid:durableId="1177500725">
    <w:abstractNumId w:val="5"/>
  </w:num>
  <w:num w:numId="30" w16cid:durableId="1455254379">
    <w:abstractNumId w:val="6"/>
  </w:num>
  <w:num w:numId="31" w16cid:durableId="2099860279">
    <w:abstractNumId w:val="19"/>
  </w:num>
  <w:num w:numId="32" w16cid:durableId="149429469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11B28"/>
    <w:rsid w:val="00015D15"/>
    <w:rsid w:val="0002564D"/>
    <w:rsid w:val="00025ECA"/>
    <w:rsid w:val="000325B8"/>
    <w:rsid w:val="000346CD"/>
    <w:rsid w:val="00034C15"/>
    <w:rsid w:val="00036BA1"/>
    <w:rsid w:val="000422E2"/>
    <w:rsid w:val="00042F22"/>
    <w:rsid w:val="000444EF"/>
    <w:rsid w:val="0004778E"/>
    <w:rsid w:val="00050C7B"/>
    <w:rsid w:val="0005226A"/>
    <w:rsid w:val="00052A07"/>
    <w:rsid w:val="000534E3"/>
    <w:rsid w:val="0005606A"/>
    <w:rsid w:val="00057117"/>
    <w:rsid w:val="0005756A"/>
    <w:rsid w:val="000616E7"/>
    <w:rsid w:val="0006487E"/>
    <w:rsid w:val="00065E1A"/>
    <w:rsid w:val="00077E5F"/>
    <w:rsid w:val="0008036A"/>
    <w:rsid w:val="00081AE6"/>
    <w:rsid w:val="00083A32"/>
    <w:rsid w:val="000843A2"/>
    <w:rsid w:val="000855EB"/>
    <w:rsid w:val="00085B52"/>
    <w:rsid w:val="000866F2"/>
    <w:rsid w:val="0009009F"/>
    <w:rsid w:val="00091557"/>
    <w:rsid w:val="000924C1"/>
    <w:rsid w:val="000924F0"/>
    <w:rsid w:val="00093474"/>
    <w:rsid w:val="0009510F"/>
    <w:rsid w:val="000A1094"/>
    <w:rsid w:val="000A1B7B"/>
    <w:rsid w:val="000A56F2"/>
    <w:rsid w:val="000B230C"/>
    <w:rsid w:val="000B2719"/>
    <w:rsid w:val="000B3A8F"/>
    <w:rsid w:val="000B4AB9"/>
    <w:rsid w:val="000B58C3"/>
    <w:rsid w:val="000B61E9"/>
    <w:rsid w:val="000C165A"/>
    <w:rsid w:val="000C1DCE"/>
    <w:rsid w:val="000C2E19"/>
    <w:rsid w:val="000C37A2"/>
    <w:rsid w:val="000D0D07"/>
    <w:rsid w:val="000D4797"/>
    <w:rsid w:val="000E0527"/>
    <w:rsid w:val="000E1E92"/>
    <w:rsid w:val="000E25BF"/>
    <w:rsid w:val="000F06D6"/>
    <w:rsid w:val="000F0EB1"/>
    <w:rsid w:val="000F1106"/>
    <w:rsid w:val="000F173A"/>
    <w:rsid w:val="000F3BE9"/>
    <w:rsid w:val="000F3F6C"/>
    <w:rsid w:val="000F6DF3"/>
    <w:rsid w:val="000F7B11"/>
    <w:rsid w:val="001005FF"/>
    <w:rsid w:val="001062FB"/>
    <w:rsid w:val="001063E6"/>
    <w:rsid w:val="00113CF4"/>
    <w:rsid w:val="001153EA"/>
    <w:rsid w:val="00115643"/>
    <w:rsid w:val="00116765"/>
    <w:rsid w:val="00120204"/>
    <w:rsid w:val="001219F5"/>
    <w:rsid w:val="00121A20"/>
    <w:rsid w:val="0012377F"/>
    <w:rsid w:val="00124314"/>
    <w:rsid w:val="0012697E"/>
    <w:rsid w:val="00126B4A"/>
    <w:rsid w:val="00131897"/>
    <w:rsid w:val="00132FD0"/>
    <w:rsid w:val="001344C0"/>
    <w:rsid w:val="001346FA"/>
    <w:rsid w:val="00135252"/>
    <w:rsid w:val="00137AB5"/>
    <w:rsid w:val="00137C7F"/>
    <w:rsid w:val="00137F0B"/>
    <w:rsid w:val="00151E23"/>
    <w:rsid w:val="001526E0"/>
    <w:rsid w:val="001551B5"/>
    <w:rsid w:val="00162E1C"/>
    <w:rsid w:val="001659C1"/>
    <w:rsid w:val="001678F4"/>
    <w:rsid w:val="0017014E"/>
    <w:rsid w:val="00171F51"/>
    <w:rsid w:val="00173A8E"/>
    <w:rsid w:val="0017502C"/>
    <w:rsid w:val="00176F57"/>
    <w:rsid w:val="0018143F"/>
    <w:rsid w:val="0018176A"/>
    <w:rsid w:val="00181FF8"/>
    <w:rsid w:val="001845D4"/>
    <w:rsid w:val="00190AC1"/>
    <w:rsid w:val="0019341A"/>
    <w:rsid w:val="00195464"/>
    <w:rsid w:val="00197DF9"/>
    <w:rsid w:val="001A1987"/>
    <w:rsid w:val="001A2564"/>
    <w:rsid w:val="001A36B9"/>
    <w:rsid w:val="001A3747"/>
    <w:rsid w:val="001A6173"/>
    <w:rsid w:val="001A6CBA"/>
    <w:rsid w:val="001B0D97"/>
    <w:rsid w:val="001B365E"/>
    <w:rsid w:val="001B5A5D"/>
    <w:rsid w:val="001B6F30"/>
    <w:rsid w:val="001C0711"/>
    <w:rsid w:val="001C1CE5"/>
    <w:rsid w:val="001C3D2A"/>
    <w:rsid w:val="001C5CB8"/>
    <w:rsid w:val="001D51BA"/>
    <w:rsid w:val="001D53E7"/>
    <w:rsid w:val="001D6342"/>
    <w:rsid w:val="001D6D53"/>
    <w:rsid w:val="001D789E"/>
    <w:rsid w:val="001E58E2"/>
    <w:rsid w:val="001E7AED"/>
    <w:rsid w:val="001F0805"/>
    <w:rsid w:val="001F3916"/>
    <w:rsid w:val="001F54C5"/>
    <w:rsid w:val="001F662C"/>
    <w:rsid w:val="001F6DBC"/>
    <w:rsid w:val="001F7074"/>
    <w:rsid w:val="00200490"/>
    <w:rsid w:val="00201AFB"/>
    <w:rsid w:val="00201F3A"/>
    <w:rsid w:val="00203F96"/>
    <w:rsid w:val="002069B2"/>
    <w:rsid w:val="00207FA3"/>
    <w:rsid w:val="0021197A"/>
    <w:rsid w:val="00214DA8"/>
    <w:rsid w:val="00215423"/>
    <w:rsid w:val="002158FA"/>
    <w:rsid w:val="002201D2"/>
    <w:rsid w:val="00220600"/>
    <w:rsid w:val="002224DB"/>
    <w:rsid w:val="00223FCB"/>
    <w:rsid w:val="002252C3"/>
    <w:rsid w:val="00225C54"/>
    <w:rsid w:val="00230765"/>
    <w:rsid w:val="00230D18"/>
    <w:rsid w:val="002319E4"/>
    <w:rsid w:val="00234250"/>
    <w:rsid w:val="00235632"/>
    <w:rsid w:val="00235872"/>
    <w:rsid w:val="00235D60"/>
    <w:rsid w:val="00241559"/>
    <w:rsid w:val="00243102"/>
    <w:rsid w:val="002435B3"/>
    <w:rsid w:val="002458EB"/>
    <w:rsid w:val="00247E29"/>
    <w:rsid w:val="002500C8"/>
    <w:rsid w:val="002555D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19"/>
    <w:rsid w:val="00292EB7"/>
    <w:rsid w:val="00296227"/>
    <w:rsid w:val="00296F44"/>
    <w:rsid w:val="0029777D"/>
    <w:rsid w:val="002A055E"/>
    <w:rsid w:val="002A1D4E"/>
    <w:rsid w:val="002A2869"/>
    <w:rsid w:val="002B24D6"/>
    <w:rsid w:val="002B56E0"/>
    <w:rsid w:val="002C37EE"/>
    <w:rsid w:val="002C41E6"/>
    <w:rsid w:val="002C4A22"/>
    <w:rsid w:val="002C660C"/>
    <w:rsid w:val="002D071A"/>
    <w:rsid w:val="002D229A"/>
    <w:rsid w:val="002D34B2"/>
    <w:rsid w:val="002D48B0"/>
    <w:rsid w:val="002D5B37"/>
    <w:rsid w:val="002D71B3"/>
    <w:rsid w:val="002D7231"/>
    <w:rsid w:val="002D7637"/>
    <w:rsid w:val="002E17F2"/>
    <w:rsid w:val="002E409A"/>
    <w:rsid w:val="002E7CAE"/>
    <w:rsid w:val="002F2771"/>
    <w:rsid w:val="002F37A9"/>
    <w:rsid w:val="00301CE6"/>
    <w:rsid w:val="0030256B"/>
    <w:rsid w:val="0030501F"/>
    <w:rsid w:val="00306C55"/>
    <w:rsid w:val="00307BA1"/>
    <w:rsid w:val="00311702"/>
    <w:rsid w:val="00311E82"/>
    <w:rsid w:val="00313FD6"/>
    <w:rsid w:val="003143BD"/>
    <w:rsid w:val="00315363"/>
    <w:rsid w:val="00317753"/>
    <w:rsid w:val="003203ED"/>
    <w:rsid w:val="00322C9F"/>
    <w:rsid w:val="00324D23"/>
    <w:rsid w:val="003267B7"/>
    <w:rsid w:val="00331751"/>
    <w:rsid w:val="00334579"/>
    <w:rsid w:val="00335858"/>
    <w:rsid w:val="00336BDA"/>
    <w:rsid w:val="00342BD7"/>
    <w:rsid w:val="0034311E"/>
    <w:rsid w:val="00344B44"/>
    <w:rsid w:val="00345E3A"/>
    <w:rsid w:val="00346DB5"/>
    <w:rsid w:val="003477B1"/>
    <w:rsid w:val="00355E88"/>
    <w:rsid w:val="00357380"/>
    <w:rsid w:val="003602D9"/>
    <w:rsid w:val="003604CE"/>
    <w:rsid w:val="00370E47"/>
    <w:rsid w:val="003742AC"/>
    <w:rsid w:val="003775BE"/>
    <w:rsid w:val="00377CE1"/>
    <w:rsid w:val="00385BF0"/>
    <w:rsid w:val="00387375"/>
    <w:rsid w:val="003939FF"/>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64BB"/>
    <w:rsid w:val="003B7FE5"/>
    <w:rsid w:val="003C11C8"/>
    <w:rsid w:val="003C2702"/>
    <w:rsid w:val="003C44CF"/>
    <w:rsid w:val="003C7806"/>
    <w:rsid w:val="003D109F"/>
    <w:rsid w:val="003D2478"/>
    <w:rsid w:val="003D3C45"/>
    <w:rsid w:val="003D5B1F"/>
    <w:rsid w:val="003E15FA"/>
    <w:rsid w:val="003E55E4"/>
    <w:rsid w:val="003E6923"/>
    <w:rsid w:val="003E74E3"/>
    <w:rsid w:val="003F05C7"/>
    <w:rsid w:val="003F11C3"/>
    <w:rsid w:val="003F2CD4"/>
    <w:rsid w:val="003F6BBE"/>
    <w:rsid w:val="004000E8"/>
    <w:rsid w:val="00402E2B"/>
    <w:rsid w:val="004030D8"/>
    <w:rsid w:val="0040512B"/>
    <w:rsid w:val="00405CA5"/>
    <w:rsid w:val="00407CD3"/>
    <w:rsid w:val="00410134"/>
    <w:rsid w:val="00410B72"/>
    <w:rsid w:val="00410F18"/>
    <w:rsid w:val="00411647"/>
    <w:rsid w:val="0041263E"/>
    <w:rsid w:val="00413AAC"/>
    <w:rsid w:val="00413E92"/>
    <w:rsid w:val="00421105"/>
    <w:rsid w:val="00422AA4"/>
    <w:rsid w:val="004242F4"/>
    <w:rsid w:val="00427248"/>
    <w:rsid w:val="004344C0"/>
    <w:rsid w:val="00437447"/>
    <w:rsid w:val="00441A92"/>
    <w:rsid w:val="004431DC"/>
    <w:rsid w:val="00443DFA"/>
    <w:rsid w:val="00444F56"/>
    <w:rsid w:val="004463F1"/>
    <w:rsid w:val="00446488"/>
    <w:rsid w:val="00447D88"/>
    <w:rsid w:val="004517AA"/>
    <w:rsid w:val="00451A5E"/>
    <w:rsid w:val="00451EF1"/>
    <w:rsid w:val="00452CAC"/>
    <w:rsid w:val="004546DA"/>
    <w:rsid w:val="00457565"/>
    <w:rsid w:val="00457B71"/>
    <w:rsid w:val="00464337"/>
    <w:rsid w:val="004669E2"/>
    <w:rsid w:val="00470C31"/>
    <w:rsid w:val="00471DE0"/>
    <w:rsid w:val="004734D0"/>
    <w:rsid w:val="0047556B"/>
    <w:rsid w:val="00477768"/>
    <w:rsid w:val="0049237E"/>
    <w:rsid w:val="00492BC5"/>
    <w:rsid w:val="004964F1"/>
    <w:rsid w:val="004A16BC"/>
    <w:rsid w:val="004A2B94"/>
    <w:rsid w:val="004B6F6A"/>
    <w:rsid w:val="004B7C0C"/>
    <w:rsid w:val="004C1D7A"/>
    <w:rsid w:val="004C3898"/>
    <w:rsid w:val="004C5545"/>
    <w:rsid w:val="004D15A8"/>
    <w:rsid w:val="004D36B1"/>
    <w:rsid w:val="004D7EBD"/>
    <w:rsid w:val="004E2680"/>
    <w:rsid w:val="004E28F9"/>
    <w:rsid w:val="004E462E"/>
    <w:rsid w:val="004E56DC"/>
    <w:rsid w:val="004E6B59"/>
    <w:rsid w:val="004E76F4"/>
    <w:rsid w:val="004F0B4E"/>
    <w:rsid w:val="004F0B6C"/>
    <w:rsid w:val="004F2078"/>
    <w:rsid w:val="004F4DA3"/>
    <w:rsid w:val="004F57B4"/>
    <w:rsid w:val="004F762F"/>
    <w:rsid w:val="00500E7F"/>
    <w:rsid w:val="00506557"/>
    <w:rsid w:val="0050677A"/>
    <w:rsid w:val="005108D8"/>
    <w:rsid w:val="005116F9"/>
    <w:rsid w:val="005153A7"/>
    <w:rsid w:val="005156F6"/>
    <w:rsid w:val="005201BD"/>
    <w:rsid w:val="005201FE"/>
    <w:rsid w:val="005219CF"/>
    <w:rsid w:val="00524E25"/>
    <w:rsid w:val="00533CBA"/>
    <w:rsid w:val="00534607"/>
    <w:rsid w:val="00534B59"/>
    <w:rsid w:val="00535342"/>
    <w:rsid w:val="00536759"/>
    <w:rsid w:val="00537C62"/>
    <w:rsid w:val="00544740"/>
    <w:rsid w:val="00545306"/>
    <w:rsid w:val="00546970"/>
    <w:rsid w:val="0055268A"/>
    <w:rsid w:val="00554E19"/>
    <w:rsid w:val="00555115"/>
    <w:rsid w:val="0056121F"/>
    <w:rsid w:val="0056476B"/>
    <w:rsid w:val="00565987"/>
    <w:rsid w:val="00572505"/>
    <w:rsid w:val="00582809"/>
    <w:rsid w:val="0058423C"/>
    <w:rsid w:val="0058798C"/>
    <w:rsid w:val="005900FA"/>
    <w:rsid w:val="005935A4"/>
    <w:rsid w:val="005948C2"/>
    <w:rsid w:val="00595DCA"/>
    <w:rsid w:val="0059779B"/>
    <w:rsid w:val="005A0FCE"/>
    <w:rsid w:val="005A209A"/>
    <w:rsid w:val="005A662D"/>
    <w:rsid w:val="005A69BB"/>
    <w:rsid w:val="005A72C5"/>
    <w:rsid w:val="005B1409"/>
    <w:rsid w:val="005B35D7"/>
    <w:rsid w:val="005B392A"/>
    <w:rsid w:val="005B3AA3"/>
    <w:rsid w:val="005B6F83"/>
    <w:rsid w:val="005C003B"/>
    <w:rsid w:val="005C2983"/>
    <w:rsid w:val="005C74FB"/>
    <w:rsid w:val="005D1602"/>
    <w:rsid w:val="005E385F"/>
    <w:rsid w:val="005E444B"/>
    <w:rsid w:val="005E5B81"/>
    <w:rsid w:val="005F2CB1"/>
    <w:rsid w:val="005F3025"/>
    <w:rsid w:val="005F618C"/>
    <w:rsid w:val="005F70BD"/>
    <w:rsid w:val="00601D07"/>
    <w:rsid w:val="0060283C"/>
    <w:rsid w:val="00604F14"/>
    <w:rsid w:val="00611B83"/>
    <w:rsid w:val="00613257"/>
    <w:rsid w:val="0061475B"/>
    <w:rsid w:val="00620A71"/>
    <w:rsid w:val="00620D80"/>
    <w:rsid w:val="006234A6"/>
    <w:rsid w:val="00630001"/>
    <w:rsid w:val="006311B3"/>
    <w:rsid w:val="0063284C"/>
    <w:rsid w:val="00636398"/>
    <w:rsid w:val="006368D3"/>
    <w:rsid w:val="00637118"/>
    <w:rsid w:val="006377EC"/>
    <w:rsid w:val="0064151F"/>
    <w:rsid w:val="00641533"/>
    <w:rsid w:val="0064208D"/>
    <w:rsid w:val="006424BB"/>
    <w:rsid w:val="00643475"/>
    <w:rsid w:val="0064396A"/>
    <w:rsid w:val="0064624E"/>
    <w:rsid w:val="00646B83"/>
    <w:rsid w:val="00646D56"/>
    <w:rsid w:val="00650AB9"/>
    <w:rsid w:val="00651953"/>
    <w:rsid w:val="00652189"/>
    <w:rsid w:val="00655733"/>
    <w:rsid w:val="00655ACD"/>
    <w:rsid w:val="00656A92"/>
    <w:rsid w:val="00656DDE"/>
    <w:rsid w:val="0066011D"/>
    <w:rsid w:val="006607C0"/>
    <w:rsid w:val="006613A6"/>
    <w:rsid w:val="006627A2"/>
    <w:rsid w:val="006634E6"/>
    <w:rsid w:val="006655EE"/>
    <w:rsid w:val="00667EE7"/>
    <w:rsid w:val="00670922"/>
    <w:rsid w:val="00670BE1"/>
    <w:rsid w:val="006710A9"/>
    <w:rsid w:val="0067218F"/>
    <w:rsid w:val="006741F2"/>
    <w:rsid w:val="00674CC3"/>
    <w:rsid w:val="00675C72"/>
    <w:rsid w:val="006771F9"/>
    <w:rsid w:val="006776D7"/>
    <w:rsid w:val="00681003"/>
    <w:rsid w:val="006817C9"/>
    <w:rsid w:val="00683ECE"/>
    <w:rsid w:val="006849CF"/>
    <w:rsid w:val="00695FC2"/>
    <w:rsid w:val="00696949"/>
    <w:rsid w:val="00697052"/>
    <w:rsid w:val="006A02B7"/>
    <w:rsid w:val="006A46FB"/>
    <w:rsid w:val="006A47E4"/>
    <w:rsid w:val="006A4CBD"/>
    <w:rsid w:val="006A5E28"/>
    <w:rsid w:val="006A697B"/>
    <w:rsid w:val="006A74F2"/>
    <w:rsid w:val="006A7AFF"/>
    <w:rsid w:val="006B1816"/>
    <w:rsid w:val="006B208F"/>
    <w:rsid w:val="006B2099"/>
    <w:rsid w:val="006B2D50"/>
    <w:rsid w:val="006B50CF"/>
    <w:rsid w:val="006C03B8"/>
    <w:rsid w:val="006C5EC9"/>
    <w:rsid w:val="006C6059"/>
    <w:rsid w:val="006C669D"/>
    <w:rsid w:val="006C6D70"/>
    <w:rsid w:val="006C7522"/>
    <w:rsid w:val="006D6F08"/>
    <w:rsid w:val="006D769A"/>
    <w:rsid w:val="006E030B"/>
    <w:rsid w:val="006E062C"/>
    <w:rsid w:val="006E1C82"/>
    <w:rsid w:val="006E28B7"/>
    <w:rsid w:val="006E2A9B"/>
    <w:rsid w:val="006E3310"/>
    <w:rsid w:val="006E337D"/>
    <w:rsid w:val="006E4E39"/>
    <w:rsid w:val="006E565E"/>
    <w:rsid w:val="006E673D"/>
    <w:rsid w:val="006E7D3B"/>
    <w:rsid w:val="006F1B70"/>
    <w:rsid w:val="006F341D"/>
    <w:rsid w:val="006F3CDE"/>
    <w:rsid w:val="006F4E2E"/>
    <w:rsid w:val="006F58D4"/>
    <w:rsid w:val="006F6582"/>
    <w:rsid w:val="006F73B2"/>
    <w:rsid w:val="00702677"/>
    <w:rsid w:val="007026DC"/>
    <w:rsid w:val="0070346E"/>
    <w:rsid w:val="00704EDB"/>
    <w:rsid w:val="00706101"/>
    <w:rsid w:val="00707072"/>
    <w:rsid w:val="00707D61"/>
    <w:rsid w:val="00712287"/>
    <w:rsid w:val="00712772"/>
    <w:rsid w:val="007148D3"/>
    <w:rsid w:val="00715666"/>
    <w:rsid w:val="00715B9A"/>
    <w:rsid w:val="007176B0"/>
    <w:rsid w:val="0072023E"/>
    <w:rsid w:val="00725457"/>
    <w:rsid w:val="007257D0"/>
    <w:rsid w:val="00726EA6"/>
    <w:rsid w:val="00727208"/>
    <w:rsid w:val="00727680"/>
    <w:rsid w:val="00727D25"/>
    <w:rsid w:val="007318FD"/>
    <w:rsid w:val="007348B1"/>
    <w:rsid w:val="0073562F"/>
    <w:rsid w:val="007362A6"/>
    <w:rsid w:val="00736D7D"/>
    <w:rsid w:val="007378BA"/>
    <w:rsid w:val="00740E58"/>
    <w:rsid w:val="007445A0"/>
    <w:rsid w:val="0074524B"/>
    <w:rsid w:val="00745FA1"/>
    <w:rsid w:val="00747D8B"/>
    <w:rsid w:val="00751228"/>
    <w:rsid w:val="00755BBB"/>
    <w:rsid w:val="0075665F"/>
    <w:rsid w:val="007571E1"/>
    <w:rsid w:val="00757A16"/>
    <w:rsid w:val="007604B2"/>
    <w:rsid w:val="00765281"/>
    <w:rsid w:val="00766BAD"/>
    <w:rsid w:val="007709B4"/>
    <w:rsid w:val="007711C3"/>
    <w:rsid w:val="007729A2"/>
    <w:rsid w:val="007748E1"/>
    <w:rsid w:val="007755F2"/>
    <w:rsid w:val="00776971"/>
    <w:rsid w:val="00780A80"/>
    <w:rsid w:val="0078177E"/>
    <w:rsid w:val="0078304C"/>
    <w:rsid w:val="00783673"/>
    <w:rsid w:val="00785490"/>
    <w:rsid w:val="00786692"/>
    <w:rsid w:val="00787F8B"/>
    <w:rsid w:val="007925EA"/>
    <w:rsid w:val="00793CD8"/>
    <w:rsid w:val="0079424C"/>
    <w:rsid w:val="00795C92"/>
    <w:rsid w:val="00796231"/>
    <w:rsid w:val="007A1CB3"/>
    <w:rsid w:val="007A306F"/>
    <w:rsid w:val="007A43A6"/>
    <w:rsid w:val="007A58A6"/>
    <w:rsid w:val="007B3D2D"/>
    <w:rsid w:val="007B50AE"/>
    <w:rsid w:val="007B51DF"/>
    <w:rsid w:val="007C05DD"/>
    <w:rsid w:val="007C10DE"/>
    <w:rsid w:val="007C3D18"/>
    <w:rsid w:val="007C60BF"/>
    <w:rsid w:val="007C6A07"/>
    <w:rsid w:val="007C75A1"/>
    <w:rsid w:val="007C77A5"/>
    <w:rsid w:val="007D04E5"/>
    <w:rsid w:val="007D09AE"/>
    <w:rsid w:val="007D5901"/>
    <w:rsid w:val="007D7526"/>
    <w:rsid w:val="007E4610"/>
    <w:rsid w:val="007E4715"/>
    <w:rsid w:val="007E505B"/>
    <w:rsid w:val="007E7091"/>
    <w:rsid w:val="007F224C"/>
    <w:rsid w:val="007F551A"/>
    <w:rsid w:val="00800550"/>
    <w:rsid w:val="00803ECB"/>
    <w:rsid w:val="00803FAE"/>
    <w:rsid w:val="0080605F"/>
    <w:rsid w:val="0080627D"/>
    <w:rsid w:val="00807786"/>
    <w:rsid w:val="00811FCB"/>
    <w:rsid w:val="008158D6"/>
    <w:rsid w:val="00817196"/>
    <w:rsid w:val="008235DB"/>
    <w:rsid w:val="00824AB4"/>
    <w:rsid w:val="00825C42"/>
    <w:rsid w:val="00825D25"/>
    <w:rsid w:val="00827D6F"/>
    <w:rsid w:val="008376AC"/>
    <w:rsid w:val="00843030"/>
    <w:rsid w:val="008444E8"/>
    <w:rsid w:val="00844E80"/>
    <w:rsid w:val="00846FE7"/>
    <w:rsid w:val="008559C6"/>
    <w:rsid w:val="00856911"/>
    <w:rsid w:val="00857113"/>
    <w:rsid w:val="008677FD"/>
    <w:rsid w:val="008706D4"/>
    <w:rsid w:val="00870F8A"/>
    <w:rsid w:val="008719A4"/>
    <w:rsid w:val="00871D23"/>
    <w:rsid w:val="00874312"/>
    <w:rsid w:val="0087437C"/>
    <w:rsid w:val="00875CD7"/>
    <w:rsid w:val="00876B4D"/>
    <w:rsid w:val="00877F18"/>
    <w:rsid w:val="008941E3"/>
    <w:rsid w:val="0089442B"/>
    <w:rsid w:val="00894A88"/>
    <w:rsid w:val="00894B27"/>
    <w:rsid w:val="00895386"/>
    <w:rsid w:val="008A21FF"/>
    <w:rsid w:val="008A2CE2"/>
    <w:rsid w:val="008A30AC"/>
    <w:rsid w:val="008A44B8"/>
    <w:rsid w:val="008A51A8"/>
    <w:rsid w:val="008A54C7"/>
    <w:rsid w:val="008A5EEC"/>
    <w:rsid w:val="008A77D8"/>
    <w:rsid w:val="008B0483"/>
    <w:rsid w:val="008B120C"/>
    <w:rsid w:val="008B45E2"/>
    <w:rsid w:val="008B51A0"/>
    <w:rsid w:val="008B592A"/>
    <w:rsid w:val="008B7B5C"/>
    <w:rsid w:val="008C0C99"/>
    <w:rsid w:val="008C2017"/>
    <w:rsid w:val="008C4958"/>
    <w:rsid w:val="008C4BAA"/>
    <w:rsid w:val="008C6AE8"/>
    <w:rsid w:val="008C7573"/>
    <w:rsid w:val="008D00A5"/>
    <w:rsid w:val="008D34F1"/>
    <w:rsid w:val="008D39D8"/>
    <w:rsid w:val="008D6BC1"/>
    <w:rsid w:val="008D6D1A"/>
    <w:rsid w:val="008E065E"/>
    <w:rsid w:val="008E0927"/>
    <w:rsid w:val="008E1909"/>
    <w:rsid w:val="008E4361"/>
    <w:rsid w:val="008F1EAB"/>
    <w:rsid w:val="008F22B3"/>
    <w:rsid w:val="008F33DC"/>
    <w:rsid w:val="008F477F"/>
    <w:rsid w:val="008F5FAB"/>
    <w:rsid w:val="008F7FAE"/>
    <w:rsid w:val="00902350"/>
    <w:rsid w:val="0090336B"/>
    <w:rsid w:val="009053AA"/>
    <w:rsid w:val="00906348"/>
    <w:rsid w:val="00906939"/>
    <w:rsid w:val="00910034"/>
    <w:rsid w:val="00910B7D"/>
    <w:rsid w:val="00911DFB"/>
    <w:rsid w:val="009139D9"/>
    <w:rsid w:val="00914AD8"/>
    <w:rsid w:val="00916079"/>
    <w:rsid w:val="009174EF"/>
    <w:rsid w:val="00917CE9"/>
    <w:rsid w:val="00920BF2"/>
    <w:rsid w:val="00922010"/>
    <w:rsid w:val="009264DC"/>
    <w:rsid w:val="00931BD9"/>
    <w:rsid w:val="00933E24"/>
    <w:rsid w:val="009366B5"/>
    <w:rsid w:val="009368F3"/>
    <w:rsid w:val="00936DEF"/>
    <w:rsid w:val="00937B32"/>
    <w:rsid w:val="00937EC6"/>
    <w:rsid w:val="00941636"/>
    <w:rsid w:val="00943742"/>
    <w:rsid w:val="00945C05"/>
    <w:rsid w:val="00946945"/>
    <w:rsid w:val="00947713"/>
    <w:rsid w:val="00950DE7"/>
    <w:rsid w:val="00953920"/>
    <w:rsid w:val="00953D47"/>
    <w:rsid w:val="0095681E"/>
    <w:rsid w:val="009572D4"/>
    <w:rsid w:val="009579C6"/>
    <w:rsid w:val="00961921"/>
    <w:rsid w:val="0096430A"/>
    <w:rsid w:val="0096554B"/>
    <w:rsid w:val="0096584A"/>
    <w:rsid w:val="00965A96"/>
    <w:rsid w:val="0097014A"/>
    <w:rsid w:val="00971F08"/>
    <w:rsid w:val="00972393"/>
    <w:rsid w:val="0097603D"/>
    <w:rsid w:val="00976949"/>
    <w:rsid w:val="00976B94"/>
    <w:rsid w:val="00980015"/>
    <w:rsid w:val="00980477"/>
    <w:rsid w:val="009838AE"/>
    <w:rsid w:val="00983E96"/>
    <w:rsid w:val="00985253"/>
    <w:rsid w:val="009853B3"/>
    <w:rsid w:val="00990630"/>
    <w:rsid w:val="00991761"/>
    <w:rsid w:val="00991AE2"/>
    <w:rsid w:val="00994DCA"/>
    <w:rsid w:val="0099587E"/>
    <w:rsid w:val="009960EC"/>
    <w:rsid w:val="009970DD"/>
    <w:rsid w:val="009A0FBA"/>
    <w:rsid w:val="009A1601"/>
    <w:rsid w:val="009A3BB6"/>
    <w:rsid w:val="009A462D"/>
    <w:rsid w:val="009A5CBA"/>
    <w:rsid w:val="009B0967"/>
    <w:rsid w:val="009B1F30"/>
    <w:rsid w:val="009B3AC2"/>
    <w:rsid w:val="009B4DF4"/>
    <w:rsid w:val="009B564E"/>
    <w:rsid w:val="009B6B8B"/>
    <w:rsid w:val="009B7E87"/>
    <w:rsid w:val="009C0169"/>
    <w:rsid w:val="009C403E"/>
    <w:rsid w:val="009D4BCC"/>
    <w:rsid w:val="009D4FF0"/>
    <w:rsid w:val="009D703C"/>
    <w:rsid w:val="009D718F"/>
    <w:rsid w:val="009D7E77"/>
    <w:rsid w:val="009E068F"/>
    <w:rsid w:val="009E14E0"/>
    <w:rsid w:val="009E35DB"/>
    <w:rsid w:val="009E47A3"/>
    <w:rsid w:val="009F08F3"/>
    <w:rsid w:val="009F09FD"/>
    <w:rsid w:val="009F344F"/>
    <w:rsid w:val="009F3E85"/>
    <w:rsid w:val="009F50AF"/>
    <w:rsid w:val="00A03143"/>
    <w:rsid w:val="00A031D8"/>
    <w:rsid w:val="00A048A8"/>
    <w:rsid w:val="00A04F49"/>
    <w:rsid w:val="00A13E54"/>
    <w:rsid w:val="00A16DF4"/>
    <w:rsid w:val="00A17F63"/>
    <w:rsid w:val="00A2193B"/>
    <w:rsid w:val="00A2335B"/>
    <w:rsid w:val="00A2351A"/>
    <w:rsid w:val="00A2534D"/>
    <w:rsid w:val="00A264A9"/>
    <w:rsid w:val="00A26DCF"/>
    <w:rsid w:val="00A27785"/>
    <w:rsid w:val="00A30187"/>
    <w:rsid w:val="00A3185B"/>
    <w:rsid w:val="00A3448A"/>
    <w:rsid w:val="00A36297"/>
    <w:rsid w:val="00A41E2B"/>
    <w:rsid w:val="00A42493"/>
    <w:rsid w:val="00A45B74"/>
    <w:rsid w:val="00A51B9F"/>
    <w:rsid w:val="00A52E1D"/>
    <w:rsid w:val="00A61499"/>
    <w:rsid w:val="00A62A77"/>
    <w:rsid w:val="00A63483"/>
    <w:rsid w:val="00A657D7"/>
    <w:rsid w:val="00A660AC"/>
    <w:rsid w:val="00A661DE"/>
    <w:rsid w:val="00A67E6C"/>
    <w:rsid w:val="00A71B99"/>
    <w:rsid w:val="00A739D0"/>
    <w:rsid w:val="00A761D4"/>
    <w:rsid w:val="00A77A16"/>
    <w:rsid w:val="00A77EC4"/>
    <w:rsid w:val="00A873E5"/>
    <w:rsid w:val="00A923BA"/>
    <w:rsid w:val="00A92879"/>
    <w:rsid w:val="00A9442A"/>
    <w:rsid w:val="00AA016F"/>
    <w:rsid w:val="00AA084C"/>
    <w:rsid w:val="00AA1ED6"/>
    <w:rsid w:val="00AA49C8"/>
    <w:rsid w:val="00AA51D6"/>
    <w:rsid w:val="00AB0BC8"/>
    <w:rsid w:val="00AB11CA"/>
    <w:rsid w:val="00AB14D9"/>
    <w:rsid w:val="00AB4AB8"/>
    <w:rsid w:val="00AB655E"/>
    <w:rsid w:val="00AC007F"/>
    <w:rsid w:val="00AC190B"/>
    <w:rsid w:val="00AC2ECD"/>
    <w:rsid w:val="00AC3119"/>
    <w:rsid w:val="00AC36EC"/>
    <w:rsid w:val="00AC49FB"/>
    <w:rsid w:val="00AC5A10"/>
    <w:rsid w:val="00AD0AA3"/>
    <w:rsid w:val="00AD3C0F"/>
    <w:rsid w:val="00AD3F94"/>
    <w:rsid w:val="00AD4A5A"/>
    <w:rsid w:val="00AE25D2"/>
    <w:rsid w:val="00AE27AC"/>
    <w:rsid w:val="00AE40E0"/>
    <w:rsid w:val="00AE4DBA"/>
    <w:rsid w:val="00AE4F07"/>
    <w:rsid w:val="00AF192E"/>
    <w:rsid w:val="00AF1C5D"/>
    <w:rsid w:val="00AF42D7"/>
    <w:rsid w:val="00AF5A1C"/>
    <w:rsid w:val="00AF60A3"/>
    <w:rsid w:val="00B006FE"/>
    <w:rsid w:val="00B007CB"/>
    <w:rsid w:val="00B01B25"/>
    <w:rsid w:val="00B02AA9"/>
    <w:rsid w:val="00B02FA3"/>
    <w:rsid w:val="00B05084"/>
    <w:rsid w:val="00B057FD"/>
    <w:rsid w:val="00B157F9"/>
    <w:rsid w:val="00B20256"/>
    <w:rsid w:val="00B20D09"/>
    <w:rsid w:val="00B2763F"/>
    <w:rsid w:val="00B27AAC"/>
    <w:rsid w:val="00B30929"/>
    <w:rsid w:val="00B372AA"/>
    <w:rsid w:val="00B40445"/>
    <w:rsid w:val="00B409E0"/>
    <w:rsid w:val="00B41888"/>
    <w:rsid w:val="00B45A52"/>
    <w:rsid w:val="00B46175"/>
    <w:rsid w:val="00B5116B"/>
    <w:rsid w:val="00B51308"/>
    <w:rsid w:val="00B548B7"/>
    <w:rsid w:val="00B631F3"/>
    <w:rsid w:val="00B664C7"/>
    <w:rsid w:val="00B739F6"/>
    <w:rsid w:val="00B76205"/>
    <w:rsid w:val="00B81A6C"/>
    <w:rsid w:val="00B85DE5"/>
    <w:rsid w:val="00B90F73"/>
    <w:rsid w:val="00B93B59"/>
    <w:rsid w:val="00B9406A"/>
    <w:rsid w:val="00B95FB9"/>
    <w:rsid w:val="00B96F9F"/>
    <w:rsid w:val="00BA0A9D"/>
    <w:rsid w:val="00BA0CC8"/>
    <w:rsid w:val="00BA2280"/>
    <w:rsid w:val="00BA2A08"/>
    <w:rsid w:val="00BA56D2"/>
    <w:rsid w:val="00BA76E0"/>
    <w:rsid w:val="00BB0DB2"/>
    <w:rsid w:val="00BB2A25"/>
    <w:rsid w:val="00BB2FF5"/>
    <w:rsid w:val="00BB370D"/>
    <w:rsid w:val="00BB51E9"/>
    <w:rsid w:val="00BC0FDC"/>
    <w:rsid w:val="00BC3053"/>
    <w:rsid w:val="00BC4D2E"/>
    <w:rsid w:val="00BC5BEF"/>
    <w:rsid w:val="00BD12CA"/>
    <w:rsid w:val="00BD48AC"/>
    <w:rsid w:val="00BD5F1A"/>
    <w:rsid w:val="00BE1234"/>
    <w:rsid w:val="00BE2FA6"/>
    <w:rsid w:val="00BE333F"/>
    <w:rsid w:val="00BE36B8"/>
    <w:rsid w:val="00BE7406"/>
    <w:rsid w:val="00BE7603"/>
    <w:rsid w:val="00BF13F1"/>
    <w:rsid w:val="00BF3279"/>
    <w:rsid w:val="00BF649C"/>
    <w:rsid w:val="00BF74C7"/>
    <w:rsid w:val="00C00842"/>
    <w:rsid w:val="00C015F1"/>
    <w:rsid w:val="00C01DBB"/>
    <w:rsid w:val="00C01F33"/>
    <w:rsid w:val="00C02CC6"/>
    <w:rsid w:val="00C040F7"/>
    <w:rsid w:val="00C044AB"/>
    <w:rsid w:val="00C0532C"/>
    <w:rsid w:val="00C05706"/>
    <w:rsid w:val="00C06184"/>
    <w:rsid w:val="00C07377"/>
    <w:rsid w:val="00C10478"/>
    <w:rsid w:val="00C12107"/>
    <w:rsid w:val="00C14D4B"/>
    <w:rsid w:val="00C154BB"/>
    <w:rsid w:val="00C20058"/>
    <w:rsid w:val="00C268E6"/>
    <w:rsid w:val="00C273A7"/>
    <w:rsid w:val="00C279B5"/>
    <w:rsid w:val="00C27C45"/>
    <w:rsid w:val="00C343A3"/>
    <w:rsid w:val="00C3719D"/>
    <w:rsid w:val="00C37CB2"/>
    <w:rsid w:val="00C44EDF"/>
    <w:rsid w:val="00C473A5"/>
    <w:rsid w:val="00C543B4"/>
    <w:rsid w:val="00C54995"/>
    <w:rsid w:val="00C54D41"/>
    <w:rsid w:val="00C5563B"/>
    <w:rsid w:val="00C579DF"/>
    <w:rsid w:val="00C60783"/>
    <w:rsid w:val="00C64672"/>
    <w:rsid w:val="00C66729"/>
    <w:rsid w:val="00C70697"/>
    <w:rsid w:val="00C71414"/>
    <w:rsid w:val="00C72093"/>
    <w:rsid w:val="00C72EF4"/>
    <w:rsid w:val="00C744FE"/>
    <w:rsid w:val="00C75D2F"/>
    <w:rsid w:val="00C767BE"/>
    <w:rsid w:val="00C76E3C"/>
    <w:rsid w:val="00C802FB"/>
    <w:rsid w:val="00C81568"/>
    <w:rsid w:val="00C831BF"/>
    <w:rsid w:val="00C843CF"/>
    <w:rsid w:val="00C9027A"/>
    <w:rsid w:val="00C9068E"/>
    <w:rsid w:val="00C93814"/>
    <w:rsid w:val="00C93C4B"/>
    <w:rsid w:val="00C944AB"/>
    <w:rsid w:val="00C95B40"/>
    <w:rsid w:val="00CA1ED8"/>
    <w:rsid w:val="00CA2EC5"/>
    <w:rsid w:val="00CB1D70"/>
    <w:rsid w:val="00CB1F63"/>
    <w:rsid w:val="00CB2298"/>
    <w:rsid w:val="00CB7170"/>
    <w:rsid w:val="00CC040E"/>
    <w:rsid w:val="00CC111F"/>
    <w:rsid w:val="00CC2011"/>
    <w:rsid w:val="00CC3238"/>
    <w:rsid w:val="00CC3EA0"/>
    <w:rsid w:val="00CC4074"/>
    <w:rsid w:val="00CC666A"/>
    <w:rsid w:val="00CC7B45"/>
    <w:rsid w:val="00CD1188"/>
    <w:rsid w:val="00CD2ED1"/>
    <w:rsid w:val="00CD337B"/>
    <w:rsid w:val="00CE0424"/>
    <w:rsid w:val="00CE09B9"/>
    <w:rsid w:val="00CE4F5E"/>
    <w:rsid w:val="00CE706A"/>
    <w:rsid w:val="00CE7561"/>
    <w:rsid w:val="00CF1354"/>
    <w:rsid w:val="00CF2462"/>
    <w:rsid w:val="00CF3B1F"/>
    <w:rsid w:val="00CF3BF6"/>
    <w:rsid w:val="00CF4C13"/>
    <w:rsid w:val="00CF625B"/>
    <w:rsid w:val="00CF687E"/>
    <w:rsid w:val="00CF705D"/>
    <w:rsid w:val="00D0349B"/>
    <w:rsid w:val="00D0420E"/>
    <w:rsid w:val="00D0551A"/>
    <w:rsid w:val="00D06E8F"/>
    <w:rsid w:val="00D07FF7"/>
    <w:rsid w:val="00D10249"/>
    <w:rsid w:val="00D115C3"/>
    <w:rsid w:val="00D11793"/>
    <w:rsid w:val="00D11897"/>
    <w:rsid w:val="00D13135"/>
    <w:rsid w:val="00D13E4E"/>
    <w:rsid w:val="00D239A7"/>
    <w:rsid w:val="00D23F47"/>
    <w:rsid w:val="00D2561A"/>
    <w:rsid w:val="00D257F6"/>
    <w:rsid w:val="00D36943"/>
    <w:rsid w:val="00D36D50"/>
    <w:rsid w:val="00D36E71"/>
    <w:rsid w:val="00D37D87"/>
    <w:rsid w:val="00D40B33"/>
    <w:rsid w:val="00D4318F"/>
    <w:rsid w:val="00D438BF"/>
    <w:rsid w:val="00D440F8"/>
    <w:rsid w:val="00D546FF"/>
    <w:rsid w:val="00D55AD5"/>
    <w:rsid w:val="00D576CA"/>
    <w:rsid w:val="00D57BFF"/>
    <w:rsid w:val="00D60BB4"/>
    <w:rsid w:val="00D61AF5"/>
    <w:rsid w:val="00D61DE1"/>
    <w:rsid w:val="00D652B5"/>
    <w:rsid w:val="00D66155"/>
    <w:rsid w:val="00D708B0"/>
    <w:rsid w:val="00D72FE5"/>
    <w:rsid w:val="00D74F1C"/>
    <w:rsid w:val="00D75646"/>
    <w:rsid w:val="00D77B1D"/>
    <w:rsid w:val="00D8021F"/>
    <w:rsid w:val="00D80383"/>
    <w:rsid w:val="00D823C6"/>
    <w:rsid w:val="00D8327F"/>
    <w:rsid w:val="00D85251"/>
    <w:rsid w:val="00D86CA3"/>
    <w:rsid w:val="00D871CE"/>
    <w:rsid w:val="00D87AAE"/>
    <w:rsid w:val="00D9196D"/>
    <w:rsid w:val="00D92982"/>
    <w:rsid w:val="00DA141B"/>
    <w:rsid w:val="00DA1D73"/>
    <w:rsid w:val="00DA305E"/>
    <w:rsid w:val="00DA46A0"/>
    <w:rsid w:val="00DA5417"/>
    <w:rsid w:val="00DA56E8"/>
    <w:rsid w:val="00DA79B2"/>
    <w:rsid w:val="00DB0A9F"/>
    <w:rsid w:val="00DB377D"/>
    <w:rsid w:val="00DC0A2E"/>
    <w:rsid w:val="00DC2D36"/>
    <w:rsid w:val="00DC53EF"/>
    <w:rsid w:val="00DE5608"/>
    <w:rsid w:val="00DE58D0"/>
    <w:rsid w:val="00DE5B43"/>
    <w:rsid w:val="00DE654F"/>
    <w:rsid w:val="00DF0B6E"/>
    <w:rsid w:val="00DF15E0"/>
    <w:rsid w:val="00DF2656"/>
    <w:rsid w:val="00DF37A0"/>
    <w:rsid w:val="00DF66E1"/>
    <w:rsid w:val="00E00307"/>
    <w:rsid w:val="00E110E7"/>
    <w:rsid w:val="00E11B20"/>
    <w:rsid w:val="00E11ED4"/>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860"/>
    <w:rsid w:val="00E446F1"/>
    <w:rsid w:val="00E4630D"/>
    <w:rsid w:val="00E46886"/>
    <w:rsid w:val="00E4744B"/>
    <w:rsid w:val="00E47AEF"/>
    <w:rsid w:val="00E53B75"/>
    <w:rsid w:val="00E54E3B"/>
    <w:rsid w:val="00E57565"/>
    <w:rsid w:val="00E63838"/>
    <w:rsid w:val="00E64434"/>
    <w:rsid w:val="00E670F8"/>
    <w:rsid w:val="00E67C51"/>
    <w:rsid w:val="00E72EFC"/>
    <w:rsid w:val="00E758EC"/>
    <w:rsid w:val="00E8149B"/>
    <w:rsid w:val="00E8234C"/>
    <w:rsid w:val="00E83AA9"/>
    <w:rsid w:val="00E85928"/>
    <w:rsid w:val="00E87822"/>
    <w:rsid w:val="00E90395"/>
    <w:rsid w:val="00E90E49"/>
    <w:rsid w:val="00E917F9"/>
    <w:rsid w:val="00E9291C"/>
    <w:rsid w:val="00E93FFE"/>
    <w:rsid w:val="00E94F8A"/>
    <w:rsid w:val="00EA0951"/>
    <w:rsid w:val="00EA3A68"/>
    <w:rsid w:val="00EA77EB"/>
    <w:rsid w:val="00EA7A41"/>
    <w:rsid w:val="00EB077B"/>
    <w:rsid w:val="00EB4EA2"/>
    <w:rsid w:val="00EC24D5"/>
    <w:rsid w:val="00EC27C6"/>
    <w:rsid w:val="00EC4207"/>
    <w:rsid w:val="00EC5653"/>
    <w:rsid w:val="00EC71CE"/>
    <w:rsid w:val="00ED1006"/>
    <w:rsid w:val="00ED1D0B"/>
    <w:rsid w:val="00ED3EB5"/>
    <w:rsid w:val="00EE14BE"/>
    <w:rsid w:val="00EE298E"/>
    <w:rsid w:val="00EF1124"/>
    <w:rsid w:val="00EF18FE"/>
    <w:rsid w:val="00EF5787"/>
    <w:rsid w:val="00EF60D0"/>
    <w:rsid w:val="00F0528D"/>
    <w:rsid w:val="00F06C67"/>
    <w:rsid w:val="00F06DFD"/>
    <w:rsid w:val="00F071D1"/>
    <w:rsid w:val="00F07533"/>
    <w:rsid w:val="00F10629"/>
    <w:rsid w:val="00F1583D"/>
    <w:rsid w:val="00F15FA5"/>
    <w:rsid w:val="00F209B7"/>
    <w:rsid w:val="00F20F5C"/>
    <w:rsid w:val="00F2376F"/>
    <w:rsid w:val="00F243D8"/>
    <w:rsid w:val="00F30828"/>
    <w:rsid w:val="00F313D6"/>
    <w:rsid w:val="00F40F0C"/>
    <w:rsid w:val="00F4766C"/>
    <w:rsid w:val="00F5060E"/>
    <w:rsid w:val="00F507D1"/>
    <w:rsid w:val="00F519CE"/>
    <w:rsid w:val="00F51ADA"/>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5582"/>
    <w:rsid w:val="00F76EFA"/>
    <w:rsid w:val="00F80480"/>
    <w:rsid w:val="00F804BE"/>
    <w:rsid w:val="00F817CE"/>
    <w:rsid w:val="00F8451C"/>
    <w:rsid w:val="00F8456C"/>
    <w:rsid w:val="00F859D8"/>
    <w:rsid w:val="00F868F5"/>
    <w:rsid w:val="00F9056A"/>
    <w:rsid w:val="00F90F8D"/>
    <w:rsid w:val="00F92782"/>
    <w:rsid w:val="00F93AA9"/>
    <w:rsid w:val="00F96985"/>
    <w:rsid w:val="00F97838"/>
    <w:rsid w:val="00FA14A3"/>
    <w:rsid w:val="00FA2BB3"/>
    <w:rsid w:val="00FA2C62"/>
    <w:rsid w:val="00FB2AAB"/>
    <w:rsid w:val="00FB2EF7"/>
    <w:rsid w:val="00FB4C80"/>
    <w:rsid w:val="00FB6A6A"/>
    <w:rsid w:val="00FC7429"/>
    <w:rsid w:val="00FD07F6"/>
    <w:rsid w:val="00FD1EC8"/>
    <w:rsid w:val="00FD43D9"/>
    <w:rsid w:val="00FD47ED"/>
    <w:rsid w:val="00FD58FE"/>
    <w:rsid w:val="00FD74DB"/>
    <w:rsid w:val="00FD7660"/>
    <w:rsid w:val="00FE0655"/>
    <w:rsid w:val="00FE177C"/>
    <w:rsid w:val="00FE2365"/>
    <w:rsid w:val="00FE37D7"/>
    <w:rsid w:val="00FE4C7B"/>
    <w:rsid w:val="00FE7336"/>
    <w:rsid w:val="00FE787C"/>
    <w:rsid w:val="00FF4035"/>
    <w:rsid w:val="00FF45A5"/>
    <w:rsid w:val="00FF4DB2"/>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CC0AFB3-B4BC-42CB-A10F-4B4CBC08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42</TotalTime>
  <Pages>3</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7432</CharactersWithSpaces>
  <SharedDoc>false</SharedDoc>
  <HLinks>
    <vt:vector size="102" baseType="variant">
      <vt:variant>
        <vt:i4>1966130</vt:i4>
      </vt:variant>
      <vt:variant>
        <vt:i4>59</vt:i4>
      </vt:variant>
      <vt:variant>
        <vt:i4>0</vt:i4>
      </vt:variant>
      <vt:variant>
        <vt:i4>5</vt:i4>
      </vt:variant>
      <vt:variant>
        <vt:lpwstr/>
      </vt:variant>
      <vt:variant>
        <vt:lpwstr>_Toc173942450</vt:lpwstr>
      </vt:variant>
      <vt:variant>
        <vt:i4>2031666</vt:i4>
      </vt:variant>
      <vt:variant>
        <vt:i4>56</vt:i4>
      </vt:variant>
      <vt:variant>
        <vt:i4>0</vt:i4>
      </vt:variant>
      <vt:variant>
        <vt:i4>5</vt:i4>
      </vt:variant>
      <vt:variant>
        <vt:lpwstr/>
      </vt:variant>
      <vt:variant>
        <vt:lpwstr>_Toc173942449</vt:lpwstr>
      </vt:variant>
      <vt:variant>
        <vt:i4>2031666</vt:i4>
      </vt:variant>
      <vt:variant>
        <vt:i4>53</vt:i4>
      </vt:variant>
      <vt:variant>
        <vt:i4>0</vt:i4>
      </vt:variant>
      <vt:variant>
        <vt:i4>5</vt:i4>
      </vt:variant>
      <vt:variant>
        <vt:lpwstr/>
      </vt:variant>
      <vt:variant>
        <vt:lpwstr>_Toc173942448</vt:lpwstr>
      </vt:variant>
      <vt:variant>
        <vt:i4>2031666</vt:i4>
      </vt:variant>
      <vt:variant>
        <vt:i4>50</vt:i4>
      </vt:variant>
      <vt:variant>
        <vt:i4>0</vt:i4>
      </vt:variant>
      <vt:variant>
        <vt:i4>5</vt:i4>
      </vt:variant>
      <vt:variant>
        <vt:lpwstr/>
      </vt:variant>
      <vt:variant>
        <vt:lpwstr>_Toc173942447</vt:lpwstr>
      </vt:variant>
      <vt:variant>
        <vt:i4>2031666</vt:i4>
      </vt:variant>
      <vt:variant>
        <vt:i4>47</vt:i4>
      </vt:variant>
      <vt:variant>
        <vt:i4>0</vt:i4>
      </vt:variant>
      <vt:variant>
        <vt:i4>5</vt:i4>
      </vt:variant>
      <vt:variant>
        <vt:lpwstr/>
      </vt:variant>
      <vt:variant>
        <vt:lpwstr>_Toc173942446</vt:lpwstr>
      </vt:variant>
      <vt:variant>
        <vt:i4>2031666</vt:i4>
      </vt:variant>
      <vt:variant>
        <vt:i4>44</vt:i4>
      </vt:variant>
      <vt:variant>
        <vt:i4>0</vt:i4>
      </vt:variant>
      <vt:variant>
        <vt:i4>5</vt:i4>
      </vt:variant>
      <vt:variant>
        <vt:lpwstr/>
      </vt:variant>
      <vt:variant>
        <vt:lpwstr>_Toc173942445</vt:lpwstr>
      </vt:variant>
      <vt:variant>
        <vt:i4>2031666</vt:i4>
      </vt:variant>
      <vt:variant>
        <vt:i4>41</vt:i4>
      </vt:variant>
      <vt:variant>
        <vt:i4>0</vt:i4>
      </vt:variant>
      <vt:variant>
        <vt:i4>5</vt:i4>
      </vt:variant>
      <vt:variant>
        <vt:lpwstr/>
      </vt:variant>
      <vt:variant>
        <vt:lpwstr>_Toc173942444</vt:lpwstr>
      </vt:variant>
      <vt:variant>
        <vt:i4>2031666</vt:i4>
      </vt:variant>
      <vt:variant>
        <vt:i4>38</vt:i4>
      </vt:variant>
      <vt:variant>
        <vt:i4>0</vt:i4>
      </vt:variant>
      <vt:variant>
        <vt:i4>5</vt:i4>
      </vt:variant>
      <vt:variant>
        <vt:lpwstr/>
      </vt:variant>
      <vt:variant>
        <vt:lpwstr>_Toc173942443</vt:lpwstr>
      </vt:variant>
      <vt:variant>
        <vt:i4>2031666</vt:i4>
      </vt:variant>
      <vt:variant>
        <vt:i4>32</vt:i4>
      </vt:variant>
      <vt:variant>
        <vt:i4>0</vt:i4>
      </vt:variant>
      <vt:variant>
        <vt:i4>5</vt:i4>
      </vt:variant>
      <vt:variant>
        <vt:lpwstr/>
      </vt:variant>
      <vt:variant>
        <vt:lpwstr>_Toc173942442</vt:lpwstr>
      </vt:variant>
      <vt:variant>
        <vt:i4>2031666</vt:i4>
      </vt:variant>
      <vt:variant>
        <vt:i4>29</vt:i4>
      </vt:variant>
      <vt:variant>
        <vt:i4>0</vt:i4>
      </vt:variant>
      <vt:variant>
        <vt:i4>5</vt:i4>
      </vt:variant>
      <vt:variant>
        <vt:lpwstr/>
      </vt:variant>
      <vt:variant>
        <vt:lpwstr>_Toc173942441</vt:lpwstr>
      </vt:variant>
      <vt:variant>
        <vt:i4>2031666</vt:i4>
      </vt:variant>
      <vt:variant>
        <vt:i4>26</vt:i4>
      </vt:variant>
      <vt:variant>
        <vt:i4>0</vt:i4>
      </vt:variant>
      <vt:variant>
        <vt:i4>5</vt:i4>
      </vt:variant>
      <vt:variant>
        <vt:lpwstr/>
      </vt:variant>
      <vt:variant>
        <vt:lpwstr>_Toc173942440</vt:lpwstr>
      </vt:variant>
      <vt:variant>
        <vt:i4>1572914</vt:i4>
      </vt:variant>
      <vt:variant>
        <vt:i4>23</vt:i4>
      </vt:variant>
      <vt:variant>
        <vt:i4>0</vt:i4>
      </vt:variant>
      <vt:variant>
        <vt:i4>5</vt:i4>
      </vt:variant>
      <vt:variant>
        <vt:lpwstr/>
      </vt:variant>
      <vt:variant>
        <vt:lpwstr>_Toc173942439</vt:lpwstr>
      </vt:variant>
      <vt:variant>
        <vt:i4>1572914</vt:i4>
      </vt:variant>
      <vt:variant>
        <vt:i4>20</vt:i4>
      </vt:variant>
      <vt:variant>
        <vt:i4>0</vt:i4>
      </vt:variant>
      <vt:variant>
        <vt:i4>5</vt:i4>
      </vt:variant>
      <vt:variant>
        <vt:lpwstr/>
      </vt:variant>
      <vt:variant>
        <vt:lpwstr>_Toc173942438</vt:lpwstr>
      </vt:variant>
      <vt:variant>
        <vt:i4>1572914</vt:i4>
      </vt:variant>
      <vt:variant>
        <vt:i4>17</vt:i4>
      </vt:variant>
      <vt:variant>
        <vt:i4>0</vt:i4>
      </vt:variant>
      <vt:variant>
        <vt:i4>5</vt:i4>
      </vt:variant>
      <vt:variant>
        <vt:lpwstr/>
      </vt:variant>
      <vt:variant>
        <vt:lpwstr>_Toc173942437</vt:lpwstr>
      </vt:variant>
      <vt:variant>
        <vt:i4>1572914</vt:i4>
      </vt:variant>
      <vt:variant>
        <vt:i4>14</vt:i4>
      </vt:variant>
      <vt:variant>
        <vt:i4>0</vt:i4>
      </vt:variant>
      <vt:variant>
        <vt:i4>5</vt:i4>
      </vt:variant>
      <vt:variant>
        <vt:lpwstr/>
      </vt:variant>
      <vt:variant>
        <vt:lpwstr>_Toc173942436</vt:lpwstr>
      </vt:variant>
      <vt:variant>
        <vt:i4>1572914</vt:i4>
      </vt:variant>
      <vt:variant>
        <vt:i4>11</vt:i4>
      </vt:variant>
      <vt:variant>
        <vt:i4>0</vt:i4>
      </vt:variant>
      <vt:variant>
        <vt:i4>5</vt:i4>
      </vt:variant>
      <vt:variant>
        <vt:lpwstr/>
      </vt:variant>
      <vt:variant>
        <vt:lpwstr>_Toc173942435</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13</cp:revision>
  <cp:lastPrinted>2008-01-31T16:09:00Z</cp:lastPrinted>
  <dcterms:created xsi:type="dcterms:W3CDTF">2025-01-24T15:26:00Z</dcterms:created>
  <dcterms:modified xsi:type="dcterms:W3CDTF">2025-02-07T09:04:00Z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